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437A9A" w:rsidRDefault="00DA16A3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DA16A3">
        <w:rPr>
          <w:sz w:val="22"/>
          <w:szCs w:val="22"/>
        </w:rPr>
        <w:t xml:space="preserve">LICITACION PUBLICA N° </w:t>
      </w:r>
      <w:r w:rsidR="00437A9A">
        <w:rPr>
          <w:sz w:val="22"/>
          <w:szCs w:val="22"/>
        </w:rPr>
        <w:t>37</w:t>
      </w:r>
      <w:r w:rsidRPr="00DA16A3">
        <w:rPr>
          <w:sz w:val="22"/>
          <w:szCs w:val="22"/>
        </w:rPr>
        <w:t xml:space="preserve">/2.020 – ART. 68° DE LA LEY DE CONTABILIDAD DE LA PROVINCIA DE SAN JUAN, AUTORIZADA POR RESOLUCIÓN N° </w:t>
      </w:r>
      <w:r w:rsidR="00437A9A">
        <w:rPr>
          <w:sz w:val="22"/>
          <w:szCs w:val="22"/>
        </w:rPr>
        <w:t>1313</w:t>
      </w:r>
      <w:r w:rsidRPr="00DA16A3">
        <w:rPr>
          <w:sz w:val="22"/>
          <w:szCs w:val="22"/>
        </w:rPr>
        <w:t xml:space="preserve">-H.P.D.G.R.-2.020, DE FECHA </w:t>
      </w:r>
      <w:r w:rsidR="00437A9A">
        <w:rPr>
          <w:sz w:val="22"/>
          <w:szCs w:val="22"/>
        </w:rPr>
        <w:t>15</w:t>
      </w:r>
      <w:r w:rsidRPr="00DA16A3">
        <w:rPr>
          <w:sz w:val="22"/>
          <w:szCs w:val="22"/>
        </w:rPr>
        <w:t xml:space="preserve"> DE </w:t>
      </w:r>
      <w:r w:rsidR="00437A9A">
        <w:rPr>
          <w:sz w:val="22"/>
          <w:szCs w:val="22"/>
        </w:rPr>
        <w:t>OCTUBRE</w:t>
      </w:r>
      <w:r w:rsidRPr="00DA16A3">
        <w:rPr>
          <w:sz w:val="22"/>
          <w:szCs w:val="22"/>
        </w:rPr>
        <w:t xml:space="preserve"> DE 2020.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437A9A">
        <w:rPr>
          <w:b/>
          <w:sz w:val="22"/>
          <w:szCs w:val="22"/>
        </w:rPr>
        <w:t>00</w:t>
      </w:r>
      <w:r w:rsidR="005F622A">
        <w:rPr>
          <w:b/>
          <w:sz w:val="22"/>
          <w:szCs w:val="22"/>
        </w:rPr>
        <w:t>0</w:t>
      </w:r>
      <w:r w:rsidR="002249B0">
        <w:rPr>
          <w:b/>
          <w:sz w:val="22"/>
          <w:szCs w:val="22"/>
        </w:rPr>
        <w:t>140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</w:t>
      </w:r>
      <w:r w:rsidR="000D57A6">
        <w:rPr>
          <w:sz w:val="22"/>
          <w:szCs w:val="22"/>
        </w:rPr>
        <w:t>DEPARTAMENTO MANTENIMIENTO SOLICITA LA ADQUISICIÓN DE MATERIALES ELÉCTRICOS PARA ATENDER LA CONTINUIDAD DE</w:t>
      </w:r>
      <w:r w:rsidR="003865C1">
        <w:rPr>
          <w:sz w:val="22"/>
          <w:szCs w:val="22"/>
        </w:rPr>
        <w:t xml:space="preserve"> FUNCIONAMIENTO DE</w:t>
      </w:r>
      <w:r w:rsidR="000D57A6">
        <w:rPr>
          <w:sz w:val="22"/>
          <w:szCs w:val="22"/>
        </w:rPr>
        <w:t xml:space="preserve"> ESTE NOSOCOMIO.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437A9A">
        <w:rPr>
          <w:sz w:val="22"/>
          <w:szCs w:val="22"/>
        </w:rPr>
        <w:t>30</w:t>
      </w:r>
      <w:r>
        <w:rPr>
          <w:sz w:val="22"/>
          <w:szCs w:val="22"/>
        </w:rPr>
        <w:t>/</w:t>
      </w:r>
      <w:r w:rsidR="00437A9A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0</w:t>
      </w:r>
      <w:r w:rsidR="00DA16A3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0D57A6" w:rsidRPr="00B2614B" w:rsidRDefault="000D57A6" w:rsidP="002F560A">
      <w:pPr>
        <w:spacing w:line="276" w:lineRule="auto"/>
        <w:ind w:left="4678"/>
        <w:jc w:val="both"/>
        <w:rPr>
          <w:sz w:val="22"/>
          <w:szCs w:val="22"/>
        </w:rPr>
      </w:pPr>
      <w:r>
        <w:rPr>
          <w:b/>
          <w:sz w:val="22"/>
          <w:szCs w:val="22"/>
        </w:rPr>
        <w:t>MONTO ESTIMADO DEL GASTO</w:t>
      </w:r>
      <w:r w:rsidRPr="000D57A6">
        <w:rPr>
          <w:sz w:val="22"/>
          <w:szCs w:val="22"/>
        </w:rPr>
        <w:t>:</w:t>
      </w:r>
      <w:r>
        <w:rPr>
          <w:sz w:val="22"/>
          <w:szCs w:val="22"/>
        </w:rPr>
        <w:t xml:space="preserve"> $ 2.059.069,24</w:t>
      </w:r>
    </w:p>
    <w:p w:rsidR="00EC7C9B" w:rsidRPr="00EC7C9B" w:rsidRDefault="00EC7C9B" w:rsidP="00EC7C9B">
      <w:pPr>
        <w:spacing w:line="276" w:lineRule="auto"/>
        <w:ind w:left="4678"/>
        <w:jc w:val="both"/>
        <w:rPr>
          <w:b/>
          <w:sz w:val="22"/>
          <w:szCs w:val="22"/>
        </w:rPr>
      </w:pPr>
      <w:r w:rsidRPr="00EC7C9B"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1B28A6" w:rsidRDefault="001B28A6" w:rsidP="00437A9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437A9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47A15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9"/>
        <w:gridCol w:w="6549"/>
        <w:gridCol w:w="2098"/>
      </w:tblGrid>
      <w:tr w:rsidR="00035872" w:rsidRPr="00035872" w:rsidTr="003865C1">
        <w:trPr>
          <w:trHeight w:val="365"/>
        </w:trPr>
        <w:tc>
          <w:tcPr>
            <w:tcW w:w="784" w:type="pct"/>
            <w:shd w:val="clear" w:color="auto" w:fill="auto"/>
            <w:noWrap/>
            <w:vAlign w:val="bottom"/>
            <w:hideMark/>
          </w:tcPr>
          <w:p w:rsidR="00035872" w:rsidRPr="00AB1FC1" w:rsidRDefault="00035872" w:rsidP="000358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AB1FC1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3193" w:type="pct"/>
            <w:shd w:val="clear" w:color="auto" w:fill="auto"/>
            <w:noWrap/>
            <w:vAlign w:val="bottom"/>
            <w:hideMark/>
          </w:tcPr>
          <w:p w:rsidR="00035872" w:rsidRPr="00AB1FC1" w:rsidRDefault="00035872" w:rsidP="000358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AB1FC1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035872" w:rsidRPr="00AB1FC1" w:rsidRDefault="00035872" w:rsidP="000358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</w:pPr>
            <w:r w:rsidRPr="00AB1FC1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Adaptador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din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1 módulo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Bastidor para 3 módulos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1x1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</w:t>
            </w:r>
            <w:r w:rsidR="00437A9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Color Celeste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1x1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</w:t>
            </w:r>
            <w:r w:rsidR="00437A9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Color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Marrón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1x1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</w:t>
            </w:r>
            <w:r w:rsidR="00437A9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Color Verde/Amarillo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Celeste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. Color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Marrón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Negro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Rojo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1x2</w:t>
            </w:r>
            <w:proofErr w:type="gram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,5mm2</w:t>
            </w:r>
            <w:proofErr w:type="gram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verde/Amarillo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Celeste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. Color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Marrón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Negro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Rojo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15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Cable 1x4 mm2  caja x 100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mts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Color Verde/Amarillo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Tipo Taller Normalizado 5x2.5mm x 100 m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3x1,5mm2  x 100 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3x2,5mm2 x 100 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3x4mm2 x 100 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3x6mm2 x 100 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Cable TPR 4x4mm2 x 100 m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eléctrica de embutir rectangular PVC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eléctrica de rectangular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metálica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eléctrica de superficie rectangular PVC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eléctrica octogonal de PVC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eléctrica octogonal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metálica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mignon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 embutir de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pvc</w:t>
            </w:r>
            <w:proofErr w:type="spellEnd"/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Multiscopio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Metálica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2 bastidores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Multiscopio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Metálica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para 3 bastidores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plástica para térmicas DIN 4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módulos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D57A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Caño para electricidad pesado ¾’’ </w:t>
            </w:r>
            <w:proofErr w:type="spellStart"/>
            <w:r w:rsidR="000D57A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x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</w:t>
            </w:r>
            <w:proofErr w:type="spellEnd"/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D57A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Caño plástico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pvc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20 mm </w:t>
            </w:r>
            <w:proofErr w:type="spellStart"/>
            <w:r w:rsidR="000D57A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x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Cinta aisladora Sistema 3M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Conector para caño PVC Ø20mm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Contactor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26A bobina 220V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Contactor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32A bobina 220V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Curva Acero 3/4"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Curva p/caño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Rígido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PVC 20mm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Ficha hembra de 10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Ficha macho 10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Fotocontrol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10 A con zócalo 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42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Gabinete metálico 12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módulos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DIN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Gabinete metálico 15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módulos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DIN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3193" w:type="pct"/>
            <w:shd w:val="clear" w:color="auto" w:fill="auto"/>
            <w:noWrap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Grampa PVC para caño de 20mm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Grampa sisa (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daisa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) para caño de 3/4''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46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Grampa sisa (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daisa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) para caño de 7/8''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Interruptor Diferencial Bipolar 25A - 30mA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Interruptor Diferencial Bipolar 40A - 30mA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49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Diferencial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25 A - 30mA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Diferencial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40 A - 30mA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10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16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20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bipolar 25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55</w:t>
            </w:r>
          </w:p>
        </w:tc>
        <w:tc>
          <w:tcPr>
            <w:tcW w:w="319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125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Compacta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56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16 A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57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25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32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59</w:t>
            </w:r>
          </w:p>
        </w:tc>
        <w:tc>
          <w:tcPr>
            <w:tcW w:w="319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Interruptor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termomagnético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tetrapolar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80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amp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. Compacta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Jabalina 9 mm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 interruptor unipolar base blanco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Modulo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tapón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base blanco 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Módulo toma doble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Módulo tomacorriente 10 A tipo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Plasnavi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Base Blanco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65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Pilas AA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66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Pilas AAA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67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Porta lámpara rosca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edison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cerámico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68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Porta lámpara rosca </w:t>
            </w: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goliat</w:t>
            </w:r>
            <w:proofErr w:type="spellEnd"/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lastRenderedPageBreak/>
              <w:t>69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Precintos 100mm x100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70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Prensacable</w:t>
            </w:r>
            <w:proofErr w:type="spellEnd"/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Poliamida 3/4''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71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Tapa bastidor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72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Tomacorriente múltiple 4 tomas con </w:t>
            </w:r>
            <w:r w:rsidR="00437A9A"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protección</w:t>
            </w: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térmica sin cable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73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Union P/Caño PVC 20mm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74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Zócalo para tubo fluorescente sin porta arrancador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035872" w:rsidRPr="00035872" w:rsidTr="003865C1">
        <w:trPr>
          <w:trHeight w:val="645"/>
        </w:trPr>
        <w:tc>
          <w:tcPr>
            <w:tcW w:w="784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75</w:t>
            </w:r>
          </w:p>
        </w:tc>
        <w:tc>
          <w:tcPr>
            <w:tcW w:w="319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Zócalo con chicote para lámpara GU10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035872" w:rsidRPr="00035872" w:rsidRDefault="00035872" w:rsidP="000358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0358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437A9A" w:rsidRDefault="00437A9A" w:rsidP="00437A9A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437A9A" w:rsidRPr="00624AF7" w:rsidRDefault="00437A9A" w:rsidP="00437A9A">
      <w:pPr>
        <w:ind w:right="242"/>
        <w:jc w:val="both"/>
        <w:rPr>
          <w:b/>
          <w:u w:val="single"/>
        </w:rPr>
      </w:pPr>
    </w:p>
    <w:p w:rsidR="00437A9A" w:rsidRPr="00331ED4" w:rsidRDefault="00437A9A" w:rsidP="00437A9A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437A9A" w:rsidRPr="00331ED4" w:rsidRDefault="00437A9A" w:rsidP="00437A9A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437A9A" w:rsidRPr="00316B7B" w:rsidRDefault="00437A9A" w:rsidP="00437A9A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437A9A" w:rsidRDefault="00437A9A" w:rsidP="00437A9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437A9A" w:rsidRDefault="00437A9A" w:rsidP="00437A9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37A9A" w:rsidRDefault="00437A9A" w:rsidP="00437A9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437A9A" w:rsidRDefault="00437A9A" w:rsidP="00437A9A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37A9A" w:rsidRPr="007B3717" w:rsidRDefault="00437A9A" w:rsidP="00437A9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Para el retiro del Pliego de Condiciones deberá efectuar el pago del mismo y presentar el correspondiente comprobante en el Departamento Compras, sito en Av. Rawson y Gral. Paz, de </w:t>
      </w:r>
      <w:proofErr w:type="gramStart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 w:rsidRPr="00C30079"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 de 8 a 10 hs</w:t>
      </w:r>
    </w:p>
    <w:p w:rsidR="00331ED4" w:rsidRPr="00E53E17" w:rsidRDefault="00331ED4" w:rsidP="00437A9A">
      <w:pPr>
        <w:ind w:right="242"/>
        <w:jc w:val="both"/>
      </w:pPr>
    </w:p>
    <w:sectPr w:rsidR="00331ED4" w:rsidRPr="00E53E17" w:rsidSect="00F9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C1" w:rsidRDefault="003865C1" w:rsidP="00437A9A">
      <w:r>
        <w:separator/>
      </w:r>
    </w:p>
  </w:endnote>
  <w:endnote w:type="continuationSeparator" w:id="0">
    <w:p w:rsidR="003865C1" w:rsidRDefault="003865C1" w:rsidP="0043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C1" w:rsidRDefault="003865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C1" w:rsidRDefault="003865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C1" w:rsidRDefault="003865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C1" w:rsidRDefault="003865C1" w:rsidP="00437A9A">
      <w:r>
        <w:separator/>
      </w:r>
    </w:p>
  </w:footnote>
  <w:footnote w:type="continuationSeparator" w:id="0">
    <w:p w:rsidR="003865C1" w:rsidRDefault="003865C1" w:rsidP="0043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C1" w:rsidRDefault="005F4CB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7861" o:spid="_x0000_s2053" type="#_x0000_t75" style="position:absolute;margin-left:0;margin-top:0;width:505.3pt;height:406.1pt;z-index:-251657216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C1" w:rsidRDefault="005F4CB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7862" o:spid="_x0000_s2054" type="#_x0000_t75" style="position:absolute;margin-left:0;margin-top:0;width:505.3pt;height:406.1pt;z-index:-251656192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C1" w:rsidRDefault="005F4CB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7860" o:spid="_x0000_s2052" type="#_x0000_t75" style="position:absolute;margin-left:0;margin-top:0;width:505.3pt;height:406.1pt;z-index:-251658240;mso-position-horizontal:center;mso-position-horizontal-relative:margin;mso-position-vertical:center;mso-position-vertical-relative:margin" o:allowincell="f">
          <v:imagedata r:id="rId1" o:title="AGUA PUBLICAC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05B46"/>
    <w:rsid w:val="0003061B"/>
    <w:rsid w:val="000315E4"/>
    <w:rsid w:val="00035872"/>
    <w:rsid w:val="000455C9"/>
    <w:rsid w:val="000468DB"/>
    <w:rsid w:val="00047A15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57A6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249B0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85E7D"/>
    <w:rsid w:val="003865C1"/>
    <w:rsid w:val="00392CD2"/>
    <w:rsid w:val="0039558B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17C2A"/>
    <w:rsid w:val="00422DA7"/>
    <w:rsid w:val="004310E2"/>
    <w:rsid w:val="00437536"/>
    <w:rsid w:val="00437A9A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35E6"/>
    <w:rsid w:val="004A588B"/>
    <w:rsid w:val="004A5CDF"/>
    <w:rsid w:val="004D2C0A"/>
    <w:rsid w:val="004D51E9"/>
    <w:rsid w:val="004E039E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76DC2"/>
    <w:rsid w:val="005A01E5"/>
    <w:rsid w:val="005A05BB"/>
    <w:rsid w:val="005B2218"/>
    <w:rsid w:val="005B63F1"/>
    <w:rsid w:val="005C13ED"/>
    <w:rsid w:val="005C3CC0"/>
    <w:rsid w:val="005D23E3"/>
    <w:rsid w:val="005E7597"/>
    <w:rsid w:val="005F4CBC"/>
    <w:rsid w:val="005F622A"/>
    <w:rsid w:val="00602A77"/>
    <w:rsid w:val="0060793C"/>
    <w:rsid w:val="00610D37"/>
    <w:rsid w:val="006178C2"/>
    <w:rsid w:val="00622057"/>
    <w:rsid w:val="00622DCA"/>
    <w:rsid w:val="00624AF7"/>
    <w:rsid w:val="00635AA8"/>
    <w:rsid w:val="0064036A"/>
    <w:rsid w:val="00643474"/>
    <w:rsid w:val="00643D31"/>
    <w:rsid w:val="00652AEB"/>
    <w:rsid w:val="00654889"/>
    <w:rsid w:val="0065709F"/>
    <w:rsid w:val="006A0F3C"/>
    <w:rsid w:val="006A75F5"/>
    <w:rsid w:val="006C0483"/>
    <w:rsid w:val="006C3370"/>
    <w:rsid w:val="006C3AF3"/>
    <w:rsid w:val="006D1A77"/>
    <w:rsid w:val="006D4DFE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23BB"/>
    <w:rsid w:val="007558D5"/>
    <w:rsid w:val="007629DA"/>
    <w:rsid w:val="007635AB"/>
    <w:rsid w:val="00771319"/>
    <w:rsid w:val="00777EC7"/>
    <w:rsid w:val="00783D5E"/>
    <w:rsid w:val="007A1295"/>
    <w:rsid w:val="007A6024"/>
    <w:rsid w:val="007B3547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23B23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1FC1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87403"/>
    <w:rsid w:val="00D91A9C"/>
    <w:rsid w:val="00DA16A3"/>
    <w:rsid w:val="00DA2E25"/>
    <w:rsid w:val="00DA3BD6"/>
    <w:rsid w:val="00DA77C5"/>
    <w:rsid w:val="00DB474C"/>
    <w:rsid w:val="00DC0E13"/>
    <w:rsid w:val="00DD35D5"/>
    <w:rsid w:val="00DE5BE8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945C1"/>
    <w:rsid w:val="00EA0E8F"/>
    <w:rsid w:val="00EA3E19"/>
    <w:rsid w:val="00EA405A"/>
    <w:rsid w:val="00EB04F4"/>
    <w:rsid w:val="00EB1948"/>
    <w:rsid w:val="00EC2C75"/>
    <w:rsid w:val="00EC3266"/>
    <w:rsid w:val="00EC7C9B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437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37A9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5565-7D08-4385-8E38-776F5EA2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8808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sdanna</cp:lastModifiedBy>
  <cp:revision>4</cp:revision>
  <cp:lastPrinted>2020-10-19T19:43:00Z</cp:lastPrinted>
  <dcterms:created xsi:type="dcterms:W3CDTF">2020-10-19T20:59:00Z</dcterms:created>
  <dcterms:modified xsi:type="dcterms:W3CDTF">2020-10-20T12:34:00Z</dcterms:modified>
</cp:coreProperties>
</file>