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06613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06613B" w:rsidRDefault="0006613B" w:rsidP="0006613B">
      <w:pPr>
        <w:ind w:left="4617"/>
        <w:jc w:val="both"/>
        <w:rPr>
          <w:b/>
          <w:sz w:val="22"/>
          <w:szCs w:val="22"/>
        </w:rPr>
      </w:pPr>
    </w:p>
    <w:p w:rsidR="0049299C" w:rsidRPr="00F80911" w:rsidRDefault="0049299C" w:rsidP="0049299C">
      <w:pPr>
        <w:ind w:left="4536"/>
        <w:jc w:val="both"/>
      </w:pPr>
      <w:r>
        <w:t xml:space="preserve">LICITACION PRIVADA N° 06/2020, </w:t>
      </w:r>
      <w:r w:rsidRPr="00F80911">
        <w:t>LEY DE CONTABILIDAD DE LA PROVINCIA DE SAN JUAN</w:t>
      </w:r>
      <w:r>
        <w:t>-LEY N° 55-I, ART 69. INC 1, DECRETO N°4132-SPS/78, DECRETO ACUERDO N°0042-E/79, DECRETO N° 0066-SESP/97, DECRETO N°1663-SESP/99,</w:t>
      </w:r>
      <w:r w:rsidRPr="004F1879">
        <w:t xml:space="preserve"> </w:t>
      </w:r>
      <w:r>
        <w:t>DECRETO ACUERDO N° 0039/2018 Y</w:t>
      </w:r>
      <w:r w:rsidRPr="004F1879">
        <w:t xml:space="preserve"> </w:t>
      </w:r>
      <w:r>
        <w:t>DECRETO N° 0664/MSP/2019, RESOLUCION N°803-MS Y AS-94, INSTRUCTIVO N°0004/CGP-17.</w:t>
      </w:r>
      <w:r w:rsidRPr="00DF693D">
        <w:t xml:space="preserve"> </w:t>
      </w:r>
      <w:r w:rsidRPr="00F80911">
        <w:t xml:space="preserve">AUTORIZADA POR RESOLUCIÓN N° </w:t>
      </w:r>
      <w:r>
        <w:t>0821</w:t>
      </w:r>
      <w:r w:rsidRPr="00F80911">
        <w:t>-H.P.D.G.R.-2020</w:t>
      </w:r>
      <w:r>
        <w:t xml:space="preserve">, </w:t>
      </w:r>
      <w:r w:rsidRPr="00F80911">
        <w:t xml:space="preserve">DE FECHA </w:t>
      </w:r>
      <w:r>
        <w:t>09</w:t>
      </w:r>
      <w:r w:rsidRPr="00F80911">
        <w:t xml:space="preserve"> DE </w:t>
      </w:r>
      <w:r>
        <w:t>JUNIO</w:t>
      </w:r>
      <w:r w:rsidRPr="00F80911">
        <w:t xml:space="preserve"> DE 2020.-</w:t>
      </w:r>
    </w:p>
    <w:p w:rsidR="0049299C" w:rsidRDefault="0049299C" w:rsidP="0049299C">
      <w:pPr>
        <w:ind w:left="4536"/>
        <w:jc w:val="both"/>
        <w:rPr>
          <w:sz w:val="22"/>
          <w:szCs w:val="22"/>
        </w:rPr>
      </w:pPr>
      <w:r w:rsidRPr="00F80911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1758</w:t>
      </w:r>
      <w:r w:rsidRPr="00F8091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19</w:t>
      </w:r>
      <w:r w:rsidRPr="00F80911">
        <w:rPr>
          <w:b/>
          <w:sz w:val="22"/>
          <w:szCs w:val="22"/>
        </w:rPr>
        <w:t>.</w:t>
      </w:r>
    </w:p>
    <w:p w:rsidR="0049299C" w:rsidRDefault="0049299C" w:rsidP="0049299C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3.0</w:t>
      </w:r>
      <w:r w:rsidRPr="00376E4B">
        <w:rPr>
          <w:sz w:val="22"/>
          <w:szCs w:val="22"/>
        </w:rPr>
        <w:t>00</w:t>
      </w:r>
    </w:p>
    <w:p w:rsidR="0049299C" w:rsidRPr="007A26E0" w:rsidRDefault="0049299C" w:rsidP="0049299C">
      <w:pPr>
        <w:ind w:left="4536"/>
        <w:jc w:val="both"/>
        <w:rPr>
          <w:sz w:val="22"/>
          <w:szCs w:val="22"/>
        </w:rPr>
      </w:pPr>
      <w:r>
        <w:rPr>
          <w:b/>
          <w:sz w:val="22"/>
          <w:szCs w:val="22"/>
        </w:rPr>
        <w:t>MONTO ESTIMADO DEL GASTO: $ 447.700,00</w:t>
      </w:r>
    </w:p>
    <w:p w:rsidR="0049299C" w:rsidRDefault="0049299C" w:rsidP="0049299C">
      <w:pPr>
        <w:pStyle w:val="Textoindependiente"/>
        <w:ind w:left="453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REF.: DEPARTAMENTO MANTENIMIENTO </w:t>
      </w:r>
      <w:r w:rsidRPr="00DF693D">
        <w:rPr>
          <w:rFonts w:ascii="Times New Roman" w:hAnsi="Times New Roman"/>
          <w:sz w:val="24"/>
          <w:szCs w:val="24"/>
          <w:lang w:val="es-ES"/>
        </w:rPr>
        <w:t>SOLICITA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F693D"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z w:val="24"/>
          <w:szCs w:val="24"/>
          <w:lang w:val="es-ES"/>
        </w:rPr>
        <w:t xml:space="preserve">  CONTRATACION  DEL  SERVICIO DE  MANTENIMIENTO  PREVENTIVO  ANUAL DE CUATRO  GRUPOS  ELECTROGENOS  DESTINADO AL</w:t>
      </w:r>
      <w:r w:rsidRPr="00DF693D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HOSPITAL  NUEVO Y EX SERVICIO DE EMERGENCIA DE ESTE NOSOCOMIO.</w:t>
      </w:r>
    </w:p>
    <w:p w:rsidR="0049299C" w:rsidRPr="007A26E0" w:rsidRDefault="0049299C" w:rsidP="0049299C">
      <w:pPr>
        <w:ind w:left="4536"/>
        <w:jc w:val="both"/>
        <w:rPr>
          <w:b/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b/>
          <w:sz w:val="22"/>
          <w:szCs w:val="22"/>
        </w:rPr>
        <w:t>22</w:t>
      </w:r>
      <w:r w:rsidRPr="007A26E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06</w:t>
      </w:r>
      <w:r w:rsidRPr="007A26E0">
        <w:rPr>
          <w:b/>
          <w:sz w:val="22"/>
          <w:szCs w:val="22"/>
        </w:rPr>
        <w:t>/2020</w:t>
      </w:r>
      <w:r w:rsidRPr="001507E3">
        <w:rPr>
          <w:b/>
          <w:sz w:val="22"/>
          <w:szCs w:val="22"/>
        </w:rPr>
        <w:t xml:space="preserve">   HORA: </w:t>
      </w:r>
      <w:r w:rsidRPr="007A26E0">
        <w:rPr>
          <w:b/>
          <w:sz w:val="22"/>
          <w:szCs w:val="22"/>
        </w:rPr>
        <w:t>09:</w:t>
      </w:r>
      <w:r>
        <w:rPr>
          <w:b/>
          <w:sz w:val="22"/>
          <w:szCs w:val="22"/>
        </w:rPr>
        <w:t>0</w:t>
      </w:r>
      <w:r w:rsidRPr="007A26E0">
        <w:rPr>
          <w:b/>
          <w:sz w:val="22"/>
          <w:szCs w:val="22"/>
        </w:rPr>
        <w:t>0</w:t>
      </w:r>
    </w:p>
    <w:p w:rsidR="0049299C" w:rsidRPr="007A26E0" w:rsidRDefault="0049299C" w:rsidP="0049299C">
      <w:pPr>
        <w:pStyle w:val="Textoindependiente"/>
        <w:ind w:left="4536"/>
        <w:rPr>
          <w:rFonts w:ascii="Times New Roman" w:hAnsi="Times New Roman"/>
          <w:sz w:val="24"/>
          <w:szCs w:val="24"/>
          <w:lang w:val="es-ES"/>
        </w:rPr>
      </w:pPr>
      <w:r w:rsidRPr="00F80911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49299C" w:rsidRPr="00F80911" w:rsidRDefault="0049299C" w:rsidP="0049299C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</w:p>
    <w:p w:rsidR="008E04F6" w:rsidRPr="007A26E0" w:rsidRDefault="008E04F6" w:rsidP="008E04F6">
      <w:pPr>
        <w:pStyle w:val="Textoindependiente"/>
        <w:ind w:left="4536"/>
        <w:rPr>
          <w:rFonts w:ascii="Times New Roman" w:hAnsi="Times New Roman"/>
          <w:sz w:val="24"/>
          <w:szCs w:val="24"/>
          <w:lang w:val="es-ES"/>
        </w:rPr>
      </w:pPr>
      <w:r w:rsidRPr="00F80911">
        <w:rPr>
          <w:rFonts w:ascii="Times New Roman" w:hAnsi="Times New Roman"/>
          <w:szCs w:val="22"/>
          <w:lang w:val="es-ES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1"/>
        <w:gridCol w:w="9043"/>
        <w:gridCol w:w="818"/>
      </w:tblGrid>
      <w:tr w:rsidR="0029390B" w:rsidRPr="00E94B0A" w:rsidTr="0029390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390B" w:rsidRPr="00E94B0A" w:rsidRDefault="0029390B" w:rsidP="008206E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390B" w:rsidRPr="00E94B0A" w:rsidRDefault="0029390B" w:rsidP="008206E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390B" w:rsidRPr="00E94B0A" w:rsidRDefault="0029390B" w:rsidP="008206E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94B0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CANT.</w:t>
            </w:r>
          </w:p>
        </w:tc>
      </w:tr>
      <w:tr w:rsidR="0029390B" w:rsidRPr="00E94B0A" w:rsidTr="0029390B">
        <w:trPr>
          <w:trHeight w:val="20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  <w:p w:rsidR="0029390B" w:rsidRPr="00E94B0A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29390B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Tres (3) Grupos Electrógenos PP- 630 </w:t>
            </w:r>
            <w:proofErr w:type="spellStart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kva</w:t>
            </w:r>
            <w:proofErr w:type="spellEnd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</w:t>
            </w:r>
            <w:proofErr w:type="spellStart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Perkins</w:t>
            </w:r>
            <w:proofErr w:type="spellEnd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Inglés- </w:t>
            </w:r>
            <w:proofErr w:type="spellStart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Cramaco</w:t>
            </w:r>
            <w:proofErr w:type="spellEnd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, control GENCON.</w:t>
            </w:r>
          </w:p>
          <w:p w:rsidR="0029390B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</w:p>
          <w:p w:rsidR="0029390B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Uno (1) Grupo Electrógeno PC-185 control </w:t>
            </w:r>
            <w:proofErr w:type="spellStart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ComAp</w:t>
            </w:r>
            <w:proofErr w:type="spellEnd"/>
            <w:r w:rsidRPr="00F851BF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TTA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.</w:t>
            </w:r>
          </w:p>
          <w:p w:rsidR="0029390B" w:rsidRPr="00F851BF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</w:p>
          <w:p w:rsidR="0029390B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Uno (1) Grupo Electrógeno FP-60 control manual.</w:t>
            </w:r>
          </w:p>
          <w:p w:rsidR="0029390B" w:rsidRPr="00E94B0A" w:rsidRDefault="0029390B" w:rsidP="008206E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  <w:p w:rsidR="0029390B" w:rsidRPr="00E94B0A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29390B" w:rsidRPr="00E94B0A" w:rsidTr="0029390B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9390B" w:rsidRDefault="0029390B" w:rsidP="008206E4"/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9390B" w:rsidRPr="00E94B0A" w:rsidTr="0029390B">
        <w:trPr>
          <w:trHeight w:val="7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90B" w:rsidRDefault="0029390B" w:rsidP="008206E4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   </w:t>
            </w:r>
          </w:p>
        </w:tc>
      </w:tr>
      <w:tr w:rsidR="0029390B" w:rsidRPr="00E94B0A" w:rsidTr="0029390B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9390B" w:rsidRDefault="0029390B" w:rsidP="008206E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A9052A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  <w:t>TRABAJOS A REALIZAR POR EQUIPO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:</w:t>
            </w:r>
          </w:p>
          <w:p w:rsidR="0029390B" w:rsidRDefault="0029390B" w:rsidP="008206E4">
            <w:pPr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general del grupo electrógeno, medición y control del tablero general de Comandos y conmutación.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Diagnóstico por PC Interface y software original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Perkins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, programa aplicado GENCON. PERKINS Ingles 2800AE 18TAG2.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Control y pruebas de puesta en paralelo, control de cargas estables +- 10% Diagnóstico por PC programa aplicado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ComAp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. PC-185.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y revisión, mecanismo y maniobras, interruptores pie de máquinas.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Control general tablero de comandos, control de protecciones del motor. Generador, acoples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semi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- elástico, ajustes en general,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torquímetro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de precisión.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de vibración y desplazamiento rodamiento de cola generador, control de Tensores y ajuste de correas.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Megado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completo de Generador.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y limpieza bomba de agua, líquidos refrigerantes.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regulador de corriente de campo, puent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e de diodos, excitatriz rotante.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 electrolítico de ba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terías, limpieza y ajuste de born</w:t>
            </w: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eras.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Limpieza general de grupo electrógeno.</w:t>
            </w:r>
          </w:p>
          <w:p w:rsidR="0029390B" w:rsidRDefault="0029390B" w:rsidP="008206E4">
            <w:pPr>
              <w:pStyle w:val="Prrafodelista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</w:pPr>
          </w:p>
          <w:p w:rsidR="0029390B" w:rsidRPr="00A9052A" w:rsidRDefault="0029390B" w:rsidP="008206E4">
            <w:pPr>
              <w:pStyle w:val="Prrafodelista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  <w:t>MATERIALES A PROVEER POR CADA GRUPO ELECTRÓGENO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Cambio de aceite.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Filtros de aceite (2)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Filtros de combustible (2)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lastRenderedPageBreak/>
              <w:t>Filtro de aire (1)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Elemento de seguridad (1)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Correa de ventilación, cambio si está deteriorada.</w:t>
            </w:r>
          </w:p>
          <w:p w:rsidR="0029390B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Control, limpieza o cambio de termostatos.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Alternador de continua, carga baterías, control, reparación.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Cargador de batería fondo flote, control.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Cambio de líquidos refrigerantes, agua destilada, refrigerante. Aceite= 70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lts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. Agua destilada^ 80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Lts.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Refrigerante= 4 Galones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Cambio de aceite.</w:t>
            </w:r>
          </w:p>
          <w:p w:rsidR="0029390B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Grupos Electrógenos PP-650, PC-185 Proporcional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.</w:t>
            </w:r>
          </w:p>
          <w:p w:rsidR="0029390B" w:rsidRPr="00A9052A" w:rsidRDefault="0029390B" w:rsidP="008206E4">
            <w:pPr>
              <w:pStyle w:val="Prrafodelista"/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</w:p>
          <w:p w:rsidR="0029390B" w:rsidRPr="00A9052A" w:rsidRDefault="0029390B" w:rsidP="008206E4">
            <w:pPr>
              <w:pStyle w:val="Prrafodelista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 w:bidi="es-ES"/>
              </w:rPr>
              <w:t>MATERIALES ADICIONALES A PROVEER</w:t>
            </w:r>
          </w:p>
          <w:p w:rsidR="0029390B" w:rsidRPr="00A9052A" w:rsidRDefault="0029390B" w:rsidP="002939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</w:pPr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 xml:space="preserve"> Tres (3) Calefactores de líquidos refrigerantes 1000 watts Línea directa 220V CA. Interruptor de protección. Con termostato de corte Regulable, Para Grupos Electrógenos 630 KVA </w:t>
            </w:r>
            <w:proofErr w:type="spellStart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Perkins-Cramaco</w:t>
            </w:r>
            <w:proofErr w:type="spellEnd"/>
            <w:r w:rsidRPr="00A9052A">
              <w:rPr>
                <w:rFonts w:ascii="Verdana" w:hAnsi="Verdana"/>
                <w:color w:val="000000"/>
                <w:sz w:val="20"/>
                <w:szCs w:val="20"/>
                <w:lang w:val="es-AR" w:eastAsia="es-AR" w:bidi="es-ES"/>
              </w:rPr>
              <w:t>.</w:t>
            </w:r>
          </w:p>
          <w:p w:rsidR="0029390B" w:rsidRPr="00BE4BF7" w:rsidRDefault="0029390B" w:rsidP="008206E4">
            <w:pPr>
              <w:pStyle w:val="Prrafodelista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9390B" w:rsidRDefault="0029390B" w:rsidP="008206E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:rsidR="008E04F6" w:rsidRPr="00F80911" w:rsidRDefault="008E04F6" w:rsidP="008E04F6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</w:p>
    <w:p w:rsidR="0006613B" w:rsidRDefault="0006613B" w:rsidP="0006613B">
      <w:pPr>
        <w:ind w:right="242"/>
        <w:jc w:val="both"/>
        <w:rPr>
          <w:b/>
          <w:u w:val="single"/>
        </w:rPr>
      </w:pPr>
    </w:p>
    <w:p w:rsidR="0006613B" w:rsidRPr="00624AF7" w:rsidRDefault="0006613B" w:rsidP="0006613B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06613B" w:rsidRPr="00331ED4" w:rsidRDefault="0006613B" w:rsidP="0006613B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06613B" w:rsidRPr="00331ED4" w:rsidRDefault="0006613B" w:rsidP="0006613B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06613B" w:rsidRPr="00316B7B" w:rsidRDefault="0006613B" w:rsidP="0006613B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06613B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06613B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6613B" w:rsidRPr="007B3717" w:rsidRDefault="0006613B" w:rsidP="0006613B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622057" w:rsidRPr="008D6851" w:rsidRDefault="00622057" w:rsidP="0028735A">
      <w:pPr>
        <w:rPr>
          <w:sz w:val="22"/>
          <w:szCs w:val="22"/>
        </w:rPr>
      </w:pPr>
    </w:p>
    <w:sectPr w:rsidR="00622057" w:rsidRPr="008D6851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58" w:rsidRDefault="00C40058" w:rsidP="004E4464">
      <w:r>
        <w:separator/>
      </w:r>
    </w:p>
  </w:endnote>
  <w:endnote w:type="continuationSeparator" w:id="0">
    <w:p w:rsidR="00C40058" w:rsidRDefault="00C40058" w:rsidP="004E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4E44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58" w:rsidRDefault="00C40058" w:rsidP="004E4464">
      <w:r>
        <w:separator/>
      </w:r>
    </w:p>
  </w:footnote>
  <w:footnote w:type="continuationSeparator" w:id="0">
    <w:p w:rsidR="00C40058" w:rsidRDefault="00C40058" w:rsidP="004E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BB63A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5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BB63A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6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64" w:rsidRDefault="00BB63AD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844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62"/>
    <w:multiLevelType w:val="hybridMultilevel"/>
    <w:tmpl w:val="0B5ADB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13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45814"/>
    <w:rsid w:val="00254D72"/>
    <w:rsid w:val="00264769"/>
    <w:rsid w:val="00277BF7"/>
    <w:rsid w:val="0028735A"/>
    <w:rsid w:val="0029390B"/>
    <w:rsid w:val="002A029C"/>
    <w:rsid w:val="002A1B75"/>
    <w:rsid w:val="002A4689"/>
    <w:rsid w:val="002E18C4"/>
    <w:rsid w:val="002F1A16"/>
    <w:rsid w:val="002F49F4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30D4"/>
    <w:rsid w:val="004656E1"/>
    <w:rsid w:val="00467C9B"/>
    <w:rsid w:val="00471304"/>
    <w:rsid w:val="0049299C"/>
    <w:rsid w:val="00492C1C"/>
    <w:rsid w:val="004A35E6"/>
    <w:rsid w:val="004A588B"/>
    <w:rsid w:val="004D2C0A"/>
    <w:rsid w:val="004D51E9"/>
    <w:rsid w:val="004E4464"/>
    <w:rsid w:val="004E5182"/>
    <w:rsid w:val="004F1115"/>
    <w:rsid w:val="00507B6D"/>
    <w:rsid w:val="00513114"/>
    <w:rsid w:val="00517EAD"/>
    <w:rsid w:val="00527D2C"/>
    <w:rsid w:val="00530E74"/>
    <w:rsid w:val="005361EF"/>
    <w:rsid w:val="00582B9A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0FF"/>
    <w:rsid w:val="00622DCA"/>
    <w:rsid w:val="00624AF7"/>
    <w:rsid w:val="00635AA8"/>
    <w:rsid w:val="0064036A"/>
    <w:rsid w:val="00643D31"/>
    <w:rsid w:val="00652AEB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E04F6"/>
    <w:rsid w:val="008F61D4"/>
    <w:rsid w:val="0091482C"/>
    <w:rsid w:val="00917D56"/>
    <w:rsid w:val="009237F5"/>
    <w:rsid w:val="00937144"/>
    <w:rsid w:val="009540A9"/>
    <w:rsid w:val="00960031"/>
    <w:rsid w:val="00977264"/>
    <w:rsid w:val="00985932"/>
    <w:rsid w:val="00986262"/>
    <w:rsid w:val="009A1748"/>
    <w:rsid w:val="009A45FA"/>
    <w:rsid w:val="009A7585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67104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63AD"/>
    <w:rsid w:val="00BB6842"/>
    <w:rsid w:val="00BC08FC"/>
    <w:rsid w:val="00BD62D0"/>
    <w:rsid w:val="00C163DA"/>
    <w:rsid w:val="00C209C5"/>
    <w:rsid w:val="00C36E71"/>
    <w:rsid w:val="00C40058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C708E"/>
    <w:rsid w:val="00CD0C02"/>
    <w:rsid w:val="00CD486D"/>
    <w:rsid w:val="00CF0AD0"/>
    <w:rsid w:val="00D10BC5"/>
    <w:rsid w:val="00D13EA1"/>
    <w:rsid w:val="00D14143"/>
    <w:rsid w:val="00D242A2"/>
    <w:rsid w:val="00D27709"/>
    <w:rsid w:val="00D472C3"/>
    <w:rsid w:val="00D577E5"/>
    <w:rsid w:val="00D65A01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795C"/>
    <w:rsid w:val="00E3245B"/>
    <w:rsid w:val="00E33C5C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21DC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0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E4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4464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41C4-B037-4F30-B479-A700994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7235</Characters>
  <Application>Microsoft Office Word</Application>
  <DocSecurity>0</DocSecurity>
  <Lines>60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sdanna</cp:lastModifiedBy>
  <cp:revision>5</cp:revision>
  <cp:lastPrinted>2020-01-17T13:16:00Z</cp:lastPrinted>
  <dcterms:created xsi:type="dcterms:W3CDTF">2020-06-12T10:48:00Z</dcterms:created>
  <dcterms:modified xsi:type="dcterms:W3CDTF">2020-06-12T12:11:00Z</dcterms:modified>
</cp:coreProperties>
</file>