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B" w:rsidRDefault="00377E7B" w:rsidP="00377E7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77E7B">
        <w:rPr>
          <w:rFonts w:ascii="Arial" w:hAnsi="Arial" w:cs="Arial"/>
          <w:sz w:val="28"/>
          <w:szCs w:val="28"/>
          <w:u w:val="single"/>
        </w:rPr>
        <w:t xml:space="preserve">COMPRA DIRECTA ANTICIPADA N° </w:t>
      </w:r>
      <w:r w:rsidR="009F2F32">
        <w:rPr>
          <w:rFonts w:ascii="Arial" w:hAnsi="Arial" w:cs="Arial"/>
          <w:sz w:val="28"/>
          <w:szCs w:val="28"/>
          <w:u w:val="single"/>
        </w:rPr>
        <w:t>02</w:t>
      </w:r>
      <w:r w:rsidRPr="00377E7B">
        <w:rPr>
          <w:rFonts w:ascii="Arial" w:hAnsi="Arial" w:cs="Arial"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50"/>
        <w:gridCol w:w="1701"/>
      </w:tblGrid>
      <w:tr w:rsidR="009025A1" w:rsidRPr="0085205E" w:rsidTr="009025A1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proofErr w:type="spellStart"/>
            <w:r w:rsidRPr="007B0D48">
              <w:rPr>
                <w:rFonts w:cs="Times New Roman"/>
                <w:szCs w:val="24"/>
              </w:rPr>
              <w:t>Renglon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7B0D48">
              <w:rPr>
                <w:rFonts w:cs="Times New Roman"/>
                <w:szCs w:val="24"/>
              </w:rPr>
              <w:t>Detalle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7B0D48">
              <w:rPr>
                <w:rFonts w:cs="Times New Roman"/>
                <w:szCs w:val="24"/>
              </w:rPr>
              <w:t>Cantidad de meses</w:t>
            </w:r>
          </w:p>
        </w:tc>
      </w:tr>
      <w:tr w:rsidR="009025A1" w:rsidRPr="0085205E" w:rsidTr="009025A1">
        <w:trPr>
          <w:trHeight w:val="5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A1" w:rsidRPr="007B0D48" w:rsidRDefault="009025A1" w:rsidP="00A10CE2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7B0D48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A1" w:rsidRDefault="009F2F32" w:rsidP="00A10CE2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contratación anticipada del servicio para tratamiento de medicina radioterapéutica de alta complejidad con acelerador lineal de todos los individuos con residencia en la provincia de San Juan y sin cobertura social y/o seguro de salud, incluidos los beneficiarios del Programa Federal Salud.</w:t>
            </w:r>
          </w:p>
          <w:p w:rsidR="009F2F32" w:rsidRPr="007B0D48" w:rsidRDefault="009F2F32" w:rsidP="00A10CE2">
            <w:pPr>
              <w:contextualSpacing/>
              <w:jc w:val="both"/>
              <w:rPr>
                <w:rFonts w:cs="Times New Roman"/>
                <w:szCs w:val="24"/>
                <w:lang w:val="es-ES_tradnl"/>
              </w:rPr>
            </w:pPr>
            <w:r>
              <w:rPr>
                <w:rFonts w:cs="Times New Roman"/>
                <w:szCs w:val="24"/>
              </w:rPr>
              <w:t>Periodo: 01 de Enero del 2019 al 31 de Diciembre del 2019, con opción a dos prórrogas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anuales, a criterio del Ministerio de Salud Pública.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5A1" w:rsidRPr="007B0D48" w:rsidRDefault="009025A1" w:rsidP="00A10CE2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7B0D48">
              <w:rPr>
                <w:rFonts w:cs="Times New Roman"/>
                <w:szCs w:val="24"/>
                <w:lang w:val="es-ES_tradnl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2" w:rsidRDefault="00727CA2" w:rsidP="00044DD7">
      <w:pPr>
        <w:spacing w:after="0" w:line="240" w:lineRule="auto"/>
      </w:pPr>
      <w:r>
        <w:separator/>
      </w:r>
    </w:p>
  </w:endnote>
  <w:endnote w:type="continuationSeparator" w:id="0">
    <w:p w:rsidR="00727CA2" w:rsidRDefault="00727CA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2" w:rsidRDefault="00727CA2" w:rsidP="00044DD7">
      <w:pPr>
        <w:spacing w:after="0" w:line="240" w:lineRule="auto"/>
      </w:pPr>
      <w:r>
        <w:separator/>
      </w:r>
    </w:p>
  </w:footnote>
  <w:footnote w:type="continuationSeparator" w:id="0">
    <w:p w:rsidR="00727CA2" w:rsidRDefault="00727CA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77E7B"/>
    <w:rsid w:val="0039199D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27CA2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205F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025A1"/>
    <w:rsid w:val="00921CF6"/>
    <w:rsid w:val="00943D47"/>
    <w:rsid w:val="00962450"/>
    <w:rsid w:val="00970A57"/>
    <w:rsid w:val="00981FE2"/>
    <w:rsid w:val="0099182E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9F2F32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072B6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607DC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5FF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96981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</cp:revision>
  <dcterms:created xsi:type="dcterms:W3CDTF">2019-12-17T20:20:00Z</dcterms:created>
  <dcterms:modified xsi:type="dcterms:W3CDTF">2019-12-17T20:20:00Z</dcterms:modified>
</cp:coreProperties>
</file>