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2D" w:rsidRPr="00096ACB" w:rsidRDefault="00A24B2D" w:rsidP="00A24B2D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96ACB">
        <w:rPr>
          <w:rFonts w:ascii="Verdana" w:hAnsi="Verdana" w:cs="Arial"/>
          <w:b/>
          <w:sz w:val="28"/>
          <w:szCs w:val="28"/>
          <w:u w:val="single"/>
        </w:rPr>
        <w:t>LICITACION PUBLICA N° 22/19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3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48"/>
        <w:gridCol w:w="1007"/>
      </w:tblGrid>
      <w:tr w:rsidR="00A24B2D" w:rsidRPr="00A569DA" w:rsidTr="00A24B2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proofErr w:type="spellStart"/>
            <w:r w:rsidRPr="00A569DA">
              <w:rPr>
                <w:szCs w:val="24"/>
              </w:rPr>
              <w:t>Reng</w:t>
            </w:r>
            <w:proofErr w:type="spellEnd"/>
            <w:r w:rsidRPr="00A569DA">
              <w:rPr>
                <w:szCs w:val="24"/>
              </w:rPr>
              <w:t>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 xml:space="preserve">Detalle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Cantidad</w:t>
            </w:r>
          </w:p>
        </w:tc>
      </w:tr>
      <w:tr w:rsidR="00A24B2D" w:rsidRPr="00A569DA" w:rsidTr="00A24B2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2D" w:rsidRDefault="00A24B2D" w:rsidP="00A24B2D">
            <w:pPr>
              <w:spacing w:after="0"/>
            </w:pPr>
            <w:r>
              <w:t>PC COMPLETA. Características:</w:t>
            </w:r>
          </w:p>
          <w:p w:rsidR="00A24B2D" w:rsidRDefault="00A24B2D" w:rsidP="00A24B2D">
            <w:pPr>
              <w:spacing w:after="0"/>
            </w:pPr>
            <w:r>
              <w:t>• Microprocesador tipo Intel Core i3 o superior calidad/rendimiento que no se encuentre discontinuada su fabricación.</w:t>
            </w:r>
          </w:p>
          <w:p w:rsidR="00A24B2D" w:rsidRDefault="00A24B2D" w:rsidP="00A24B2D">
            <w:pPr>
              <w:spacing w:after="0"/>
            </w:pPr>
            <w:r>
              <w:t xml:space="preserve">• Memoria RAM tipo DDR4, con </w:t>
            </w:r>
            <w:bookmarkStart w:id="0" w:name="_GoBack"/>
            <w:bookmarkEnd w:id="0"/>
            <w:r>
              <w:t>capacidad de 4 GB.</w:t>
            </w:r>
          </w:p>
          <w:p w:rsidR="00A24B2D" w:rsidRDefault="00A24B2D" w:rsidP="00A24B2D">
            <w:pPr>
              <w:spacing w:after="0"/>
            </w:pPr>
            <w:r>
              <w:t>• Disco rígido SSD 120GB</w:t>
            </w:r>
          </w:p>
          <w:p w:rsidR="00A24B2D" w:rsidRDefault="00A24B2D" w:rsidP="00A24B2D">
            <w:pPr>
              <w:spacing w:after="0"/>
            </w:pPr>
            <w:r>
              <w:t>• Controladora de video integrada on-board.</w:t>
            </w:r>
          </w:p>
          <w:p w:rsidR="00A24B2D" w:rsidRDefault="00A24B2D" w:rsidP="00A24B2D">
            <w:pPr>
              <w:spacing w:after="0"/>
            </w:pPr>
            <w:r>
              <w:t>• Audio integrado on-board.</w:t>
            </w:r>
          </w:p>
          <w:p w:rsidR="00A24B2D" w:rsidRDefault="00A24B2D" w:rsidP="00A24B2D">
            <w:pPr>
              <w:spacing w:after="0"/>
            </w:pPr>
            <w:r>
              <w:t>• Placa de red LAN integrada on-board, con capacidad mínima 10/100/1000Mbs.</w:t>
            </w:r>
          </w:p>
          <w:p w:rsidR="00A24B2D" w:rsidRDefault="00A24B2D" w:rsidP="00A24B2D">
            <w:pPr>
              <w:spacing w:after="0"/>
            </w:pPr>
            <w:r>
              <w:t>• Placa de red WIFI PCI Express 300 Mbps (no USB) instalada sin excepción.</w:t>
            </w:r>
          </w:p>
          <w:p w:rsidR="00A24B2D" w:rsidRDefault="00A24B2D" w:rsidP="00A24B2D">
            <w:pPr>
              <w:spacing w:after="0"/>
            </w:pPr>
            <w:r>
              <w:t>• Teclado QWERTY en español, marca reconocida.</w:t>
            </w:r>
          </w:p>
          <w:p w:rsidR="00A24B2D" w:rsidRDefault="00A24B2D" w:rsidP="00A24B2D">
            <w:pPr>
              <w:spacing w:after="0"/>
            </w:pPr>
            <w:r>
              <w:t>•  Mouse óptico, marca reconocida.</w:t>
            </w:r>
          </w:p>
          <w:p w:rsidR="00A24B2D" w:rsidRDefault="00A24B2D" w:rsidP="00A24B2D">
            <w:pPr>
              <w:spacing w:after="0"/>
            </w:pPr>
            <w:r>
              <w:t xml:space="preserve">•  </w:t>
            </w:r>
            <w:proofErr w:type="spellStart"/>
            <w:r>
              <w:t>Lectograbadora</w:t>
            </w:r>
            <w:proofErr w:type="spellEnd"/>
            <w:r>
              <w:t xml:space="preserve"> de DVD.</w:t>
            </w:r>
          </w:p>
          <w:p w:rsidR="00A24B2D" w:rsidRDefault="00A24B2D" w:rsidP="00A24B2D">
            <w:pPr>
              <w:spacing w:after="0"/>
            </w:pPr>
            <w:r>
              <w:t xml:space="preserve">• Monitor LCD o LED de 19” o superior </w:t>
            </w:r>
            <w:proofErr w:type="spellStart"/>
            <w:r>
              <w:t>wide-screen</w:t>
            </w:r>
            <w:proofErr w:type="spellEnd"/>
            <w:r>
              <w:t>, marca reconocida.</w:t>
            </w:r>
          </w:p>
          <w:p w:rsidR="00A24B2D" w:rsidRDefault="00A24B2D" w:rsidP="00A24B2D">
            <w:pPr>
              <w:spacing w:after="0"/>
            </w:pPr>
            <w:r>
              <w:t>• Al menos cuatro (4) puertos USB disponibles, con al menos dos (2) puertos 3.0. Al menos uno (1) deberá estar al frente del gabinete.</w:t>
            </w:r>
          </w:p>
          <w:p w:rsidR="00A24B2D" w:rsidRDefault="00A24B2D" w:rsidP="00A24B2D">
            <w:pPr>
              <w:spacing w:after="0"/>
            </w:pPr>
            <w:r>
              <w:t>• Un (1) puerto D-SUB 15 para VGA/SVGA/XGA (conexión al monitor).</w:t>
            </w:r>
          </w:p>
          <w:p w:rsidR="00A24B2D" w:rsidRDefault="00A24B2D" w:rsidP="00A24B2D">
            <w:pPr>
              <w:spacing w:after="0"/>
            </w:pPr>
            <w:r>
              <w:t>•  Una (1) ranura de expansión tipo PCI-E 16x.</w:t>
            </w:r>
          </w:p>
          <w:p w:rsidR="00A24B2D" w:rsidRDefault="00A24B2D" w:rsidP="00A24B2D">
            <w:pPr>
              <w:spacing w:after="0"/>
            </w:pPr>
            <w:r>
              <w:t>•  Sistema operativo Windows Professional (última versión) de 64 bits, en español, con licencia original y FISICA, preactivado de fábrica a nombre del Ministerio de Salud Pública – San Juan.</w:t>
            </w:r>
          </w:p>
          <w:p w:rsidR="00A24B2D" w:rsidRPr="00734737" w:rsidRDefault="00A24B2D" w:rsidP="00A24B2D">
            <w:pPr>
              <w:spacing w:after="0"/>
            </w:pPr>
            <w:r>
              <w:t>• Software de recuperación preinstalado o en CD/DVD, que permita recuperar el S.O. y configuraciones de fábrica, sin intervención del usuario salvo para iniciar el proceso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30</w:t>
            </w:r>
          </w:p>
        </w:tc>
      </w:tr>
      <w:tr w:rsidR="00A24B2D" w:rsidRPr="0085205E" w:rsidTr="00A24B2D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2D" w:rsidRPr="00A569DA" w:rsidRDefault="00A24B2D" w:rsidP="009520A0">
            <w:pPr>
              <w:contextualSpacing/>
              <w:jc w:val="center"/>
              <w:rPr>
                <w:szCs w:val="24"/>
              </w:rPr>
            </w:pPr>
            <w:r w:rsidRPr="00A569DA">
              <w:rPr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 xml:space="preserve">Estabilizadores de tensión con 6 tomas tipo Estabilizador </w:t>
            </w:r>
            <w:proofErr w:type="spellStart"/>
            <w:r w:rsidRPr="00A569DA">
              <w:rPr>
                <w:szCs w:val="24"/>
              </w:rPr>
              <w:t>Tension</w:t>
            </w:r>
            <w:proofErr w:type="spellEnd"/>
            <w:r w:rsidRPr="00A569DA">
              <w:rPr>
                <w:szCs w:val="24"/>
              </w:rPr>
              <w:t xml:space="preserve"> Pc </w:t>
            </w:r>
            <w:proofErr w:type="spellStart"/>
            <w:r w:rsidRPr="00A569DA">
              <w:rPr>
                <w:szCs w:val="24"/>
              </w:rPr>
              <w:t>Atomlux</w:t>
            </w:r>
            <w:proofErr w:type="spellEnd"/>
            <w:r w:rsidRPr="00A569DA">
              <w:rPr>
                <w:szCs w:val="24"/>
              </w:rPr>
              <w:t xml:space="preserve"> 1000w 6 Salidas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30</w:t>
            </w:r>
          </w:p>
        </w:tc>
      </w:tr>
      <w:tr w:rsidR="00A24B2D" w:rsidRPr="0085205E" w:rsidTr="00A24B2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2D" w:rsidRPr="00A569DA" w:rsidRDefault="00A24B2D" w:rsidP="009520A0">
            <w:pPr>
              <w:contextualSpacing/>
              <w:jc w:val="center"/>
              <w:rPr>
                <w:szCs w:val="24"/>
              </w:rPr>
            </w:pPr>
            <w:r w:rsidRPr="00A569DA">
              <w:rPr>
                <w:szCs w:val="24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 xml:space="preserve">Placa de red </w:t>
            </w:r>
            <w:proofErr w:type="spellStart"/>
            <w:r w:rsidRPr="00A569DA">
              <w:rPr>
                <w:szCs w:val="24"/>
              </w:rPr>
              <w:t>WiFi</w:t>
            </w:r>
            <w:proofErr w:type="spellEnd"/>
            <w:r w:rsidRPr="00A569DA">
              <w:rPr>
                <w:szCs w:val="24"/>
              </w:rPr>
              <w:t xml:space="preserve"> PCI-Express 1.x 300Mbps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50</w:t>
            </w:r>
          </w:p>
        </w:tc>
      </w:tr>
      <w:tr w:rsidR="00A24B2D" w:rsidRPr="0085205E" w:rsidTr="00A24B2D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2D" w:rsidRPr="00A569DA" w:rsidRDefault="00A24B2D" w:rsidP="009520A0">
            <w:pPr>
              <w:contextualSpacing/>
              <w:jc w:val="center"/>
              <w:rPr>
                <w:szCs w:val="24"/>
              </w:rPr>
            </w:pPr>
            <w:r w:rsidRPr="00A569DA">
              <w:rPr>
                <w:szCs w:val="24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 xml:space="preserve">Rack 19’’ 6U </w:t>
            </w:r>
            <w:proofErr w:type="spellStart"/>
            <w:r w:rsidRPr="00A569DA">
              <w:rPr>
                <w:szCs w:val="24"/>
              </w:rPr>
              <w:t>amurable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50</w:t>
            </w:r>
          </w:p>
        </w:tc>
      </w:tr>
      <w:tr w:rsidR="00A24B2D" w:rsidRPr="0085205E" w:rsidTr="00A24B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2D" w:rsidRPr="00A569DA" w:rsidRDefault="00A24B2D" w:rsidP="009520A0">
            <w:pPr>
              <w:contextualSpacing/>
              <w:jc w:val="center"/>
              <w:rPr>
                <w:szCs w:val="24"/>
              </w:rPr>
            </w:pPr>
            <w:r w:rsidRPr="00A569DA">
              <w:rPr>
                <w:szCs w:val="24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proofErr w:type="spellStart"/>
            <w:r w:rsidRPr="00A569DA">
              <w:rPr>
                <w:szCs w:val="24"/>
              </w:rPr>
              <w:t>Router</w:t>
            </w:r>
            <w:proofErr w:type="spellEnd"/>
            <w:r w:rsidRPr="00A569DA">
              <w:rPr>
                <w:szCs w:val="24"/>
              </w:rPr>
              <w:t xml:space="preserve"> </w:t>
            </w:r>
            <w:proofErr w:type="spellStart"/>
            <w:r w:rsidRPr="00A569DA">
              <w:rPr>
                <w:szCs w:val="24"/>
              </w:rPr>
              <w:t>Mikrotik</w:t>
            </w:r>
            <w:proofErr w:type="spellEnd"/>
            <w:r w:rsidRPr="00A569DA">
              <w:rPr>
                <w:szCs w:val="24"/>
              </w:rPr>
              <w:t xml:space="preserve"> </w:t>
            </w:r>
            <w:proofErr w:type="spellStart"/>
            <w:r w:rsidRPr="00A569DA">
              <w:rPr>
                <w:szCs w:val="24"/>
              </w:rPr>
              <w:t>hEX</w:t>
            </w:r>
            <w:proofErr w:type="spellEnd"/>
            <w:r w:rsidRPr="00A569DA">
              <w:rPr>
                <w:szCs w:val="24"/>
              </w:rPr>
              <w:t xml:space="preserve"> Gr3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50</w:t>
            </w:r>
          </w:p>
        </w:tc>
      </w:tr>
      <w:tr w:rsidR="00A24B2D" w:rsidRPr="0085205E" w:rsidTr="00A24B2D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2D" w:rsidRPr="00A569DA" w:rsidRDefault="00A24B2D" w:rsidP="009520A0">
            <w:pPr>
              <w:contextualSpacing/>
              <w:jc w:val="center"/>
              <w:rPr>
                <w:szCs w:val="24"/>
              </w:rPr>
            </w:pPr>
            <w:r w:rsidRPr="00A569DA">
              <w:rPr>
                <w:szCs w:val="24"/>
              </w:rPr>
              <w:t>6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86028B" w:rsidRDefault="00A24B2D" w:rsidP="009520A0">
            <w:pPr>
              <w:contextualSpacing/>
              <w:rPr>
                <w:szCs w:val="24"/>
                <w:lang w:val="en-US"/>
              </w:rPr>
            </w:pPr>
            <w:r w:rsidRPr="0086028B">
              <w:rPr>
                <w:szCs w:val="24"/>
                <w:lang w:val="en-US"/>
              </w:rPr>
              <w:t xml:space="preserve">Unifi Access Point </w:t>
            </w:r>
            <w:proofErr w:type="spellStart"/>
            <w:r w:rsidRPr="0086028B">
              <w:rPr>
                <w:szCs w:val="24"/>
                <w:lang w:val="en-US"/>
              </w:rPr>
              <w:t>Ubiquiti</w:t>
            </w:r>
            <w:proofErr w:type="spellEnd"/>
            <w:r w:rsidRPr="0086028B">
              <w:rPr>
                <w:szCs w:val="24"/>
                <w:lang w:val="en-US"/>
              </w:rPr>
              <w:t xml:space="preserve"> </w:t>
            </w:r>
            <w:proofErr w:type="spellStart"/>
            <w:r w:rsidRPr="0086028B">
              <w:rPr>
                <w:szCs w:val="24"/>
                <w:lang w:val="en-US"/>
              </w:rPr>
              <w:t>Uap</w:t>
            </w:r>
            <w:proofErr w:type="spellEnd"/>
            <w:r w:rsidRPr="0086028B">
              <w:rPr>
                <w:szCs w:val="24"/>
                <w:lang w:val="en-US"/>
              </w:rPr>
              <w:t>-ac-</w:t>
            </w:r>
            <w:proofErr w:type="spellStart"/>
            <w:r w:rsidRPr="0086028B">
              <w:rPr>
                <w:szCs w:val="24"/>
                <w:lang w:val="en-US"/>
              </w:rPr>
              <w:t>lr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25</w:t>
            </w:r>
          </w:p>
        </w:tc>
      </w:tr>
      <w:tr w:rsidR="00A24B2D" w:rsidRPr="0085205E" w:rsidTr="00A24B2D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2D" w:rsidRPr="00A569DA" w:rsidRDefault="00A24B2D" w:rsidP="009520A0">
            <w:pPr>
              <w:contextualSpacing/>
              <w:jc w:val="center"/>
              <w:rPr>
                <w:szCs w:val="24"/>
              </w:rPr>
            </w:pPr>
            <w:r w:rsidRPr="00A569DA">
              <w:rPr>
                <w:szCs w:val="24"/>
              </w:rPr>
              <w:t>7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86028B" w:rsidRDefault="00A24B2D" w:rsidP="009520A0">
            <w:pPr>
              <w:contextualSpacing/>
              <w:rPr>
                <w:szCs w:val="24"/>
                <w:lang w:val="en-US"/>
              </w:rPr>
            </w:pPr>
            <w:r w:rsidRPr="0086028B">
              <w:rPr>
                <w:szCs w:val="24"/>
                <w:lang w:val="en-US"/>
              </w:rPr>
              <w:t xml:space="preserve">Router </w:t>
            </w:r>
            <w:proofErr w:type="spellStart"/>
            <w:r w:rsidRPr="0086028B">
              <w:rPr>
                <w:szCs w:val="24"/>
                <w:lang w:val="en-US"/>
              </w:rPr>
              <w:t>Wifi</w:t>
            </w:r>
            <w:proofErr w:type="spellEnd"/>
            <w:r w:rsidRPr="0086028B">
              <w:rPr>
                <w:szCs w:val="24"/>
                <w:lang w:val="en-US"/>
              </w:rPr>
              <w:t xml:space="preserve"> 450 Mbps 3 </w:t>
            </w:r>
            <w:proofErr w:type="spellStart"/>
            <w:r w:rsidRPr="0086028B">
              <w:rPr>
                <w:szCs w:val="24"/>
                <w:lang w:val="en-US"/>
              </w:rPr>
              <w:t>antenas</w:t>
            </w:r>
            <w:proofErr w:type="spellEnd"/>
            <w:r w:rsidRPr="0086028B">
              <w:rPr>
                <w:szCs w:val="24"/>
                <w:lang w:val="en-US"/>
              </w:rPr>
              <w:t xml:space="preserve"> </w:t>
            </w:r>
            <w:proofErr w:type="spellStart"/>
            <w:r w:rsidRPr="0086028B">
              <w:rPr>
                <w:szCs w:val="24"/>
                <w:lang w:val="en-US"/>
              </w:rPr>
              <w:t>tipo</w:t>
            </w:r>
            <w:proofErr w:type="spellEnd"/>
            <w:r w:rsidRPr="0086028B">
              <w:rPr>
                <w:szCs w:val="24"/>
                <w:lang w:val="en-US"/>
              </w:rPr>
              <w:t xml:space="preserve"> TP Link TL-WR940N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25</w:t>
            </w:r>
          </w:p>
        </w:tc>
      </w:tr>
      <w:tr w:rsidR="00A24B2D" w:rsidRPr="0085205E" w:rsidTr="00A24B2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2D" w:rsidRPr="00A569DA" w:rsidRDefault="00A24B2D" w:rsidP="009520A0">
            <w:pPr>
              <w:contextualSpacing/>
              <w:jc w:val="center"/>
              <w:rPr>
                <w:szCs w:val="24"/>
              </w:rPr>
            </w:pPr>
            <w:r w:rsidRPr="00A569DA">
              <w:rPr>
                <w:szCs w:val="24"/>
              </w:rPr>
              <w:t>8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UPS 850va 4 tomas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2D" w:rsidRPr="00A569DA" w:rsidRDefault="00A24B2D" w:rsidP="009520A0">
            <w:pPr>
              <w:contextualSpacing/>
              <w:rPr>
                <w:szCs w:val="24"/>
              </w:rPr>
            </w:pPr>
            <w:r w:rsidRPr="00A569DA">
              <w:rPr>
                <w:szCs w:val="24"/>
              </w:rPr>
              <w:t>50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6A" w:rsidRDefault="00F26D6A" w:rsidP="00044DD7">
      <w:pPr>
        <w:spacing w:after="0" w:line="240" w:lineRule="auto"/>
      </w:pPr>
      <w:r>
        <w:separator/>
      </w:r>
    </w:p>
  </w:endnote>
  <w:endnote w:type="continuationSeparator" w:id="0">
    <w:p w:rsidR="00F26D6A" w:rsidRDefault="00F26D6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6A" w:rsidRDefault="00F26D6A" w:rsidP="00044DD7">
      <w:pPr>
        <w:spacing w:after="0" w:line="240" w:lineRule="auto"/>
      </w:pPr>
      <w:r>
        <w:separator/>
      </w:r>
    </w:p>
  </w:footnote>
  <w:footnote w:type="continuationSeparator" w:id="0">
    <w:p w:rsidR="00F26D6A" w:rsidRDefault="00F26D6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152</cp:revision>
  <dcterms:created xsi:type="dcterms:W3CDTF">2019-01-14T11:30:00Z</dcterms:created>
  <dcterms:modified xsi:type="dcterms:W3CDTF">2019-12-10T12:44:00Z</dcterms:modified>
</cp:coreProperties>
</file>