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AA" w:rsidRDefault="00245EAA" w:rsidP="00245E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45EAA">
        <w:rPr>
          <w:rFonts w:ascii="Arial" w:hAnsi="Arial" w:cs="Arial"/>
          <w:b/>
          <w:sz w:val="28"/>
          <w:szCs w:val="28"/>
          <w:u w:val="single"/>
        </w:rPr>
        <w:t>COMPRA DIRECTA  N°80/19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909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814"/>
        <w:gridCol w:w="2715"/>
        <w:gridCol w:w="1268"/>
        <w:gridCol w:w="285"/>
        <w:gridCol w:w="160"/>
      </w:tblGrid>
      <w:tr w:rsidR="00245EAA" w:rsidRPr="0085205E" w:rsidTr="00245EAA">
        <w:trPr>
          <w:gridAfter w:val="2"/>
          <w:wAfter w:w="445" w:type="dxa"/>
          <w:trHeight w:val="264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EAA" w:rsidRPr="00900A80" w:rsidRDefault="00245EAA" w:rsidP="00DC1931">
            <w:pPr>
              <w:contextualSpacing/>
              <w:rPr>
                <w:color w:val="000000" w:themeColor="text1"/>
                <w:lang w:val="es-ES_tradnl"/>
              </w:rPr>
            </w:pPr>
            <w:proofErr w:type="spellStart"/>
            <w:r w:rsidRPr="00900A80">
              <w:rPr>
                <w:color w:val="000000" w:themeColor="text1"/>
                <w:lang w:val="es-ES_tradnl"/>
              </w:rPr>
              <w:t>Reng</w:t>
            </w:r>
            <w:proofErr w:type="spellEnd"/>
            <w:r w:rsidRPr="00900A80">
              <w:rPr>
                <w:color w:val="000000" w:themeColor="text1"/>
                <w:lang w:val="es-ES_tradnl"/>
              </w:rPr>
              <w:t>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EAA" w:rsidRPr="00900A80" w:rsidRDefault="00245EAA" w:rsidP="00DC1931">
            <w:pPr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 xml:space="preserve">Detalle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EAA" w:rsidRPr="00900A80" w:rsidRDefault="00245EAA" w:rsidP="00245EAA">
            <w:pPr>
              <w:contextualSpacing/>
              <w:jc w:val="center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Presentación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EAA" w:rsidRPr="00900A80" w:rsidRDefault="00245EAA" w:rsidP="00DC1931">
            <w:pPr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Cantidad</w:t>
            </w:r>
          </w:p>
        </w:tc>
      </w:tr>
      <w:tr w:rsidR="00245EAA" w:rsidRPr="0085205E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SOLUCIÓN FISIOLÓGICA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ENV. X     500 ml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800</w:t>
            </w:r>
          </w:p>
        </w:tc>
      </w:tr>
      <w:tr w:rsidR="00245EAA" w:rsidRPr="007013F2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PERFUS Nº 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UNIDAD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800</w:t>
            </w:r>
          </w:p>
        </w:tc>
      </w:tr>
      <w:tr w:rsidR="00245EAA" w:rsidRPr="007013F2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3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BATTERFLY 21G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UNIDAD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3.600</w:t>
            </w:r>
          </w:p>
        </w:tc>
      </w:tr>
      <w:tr w:rsidR="00245EAA" w:rsidRPr="007013F2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AGUJA 25/8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UNIDAD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20.000</w:t>
            </w:r>
          </w:p>
        </w:tc>
      </w:tr>
      <w:tr w:rsidR="00245EAA" w:rsidRPr="007013F2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5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HOJA BISTURÍ Nº 22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UNIDAD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6.000</w:t>
            </w:r>
          </w:p>
        </w:tc>
      </w:tr>
      <w:tr w:rsidR="00245EAA" w:rsidRPr="007013F2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6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JERINGA 1 ml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UNIDAD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5.000</w:t>
            </w:r>
          </w:p>
        </w:tc>
      </w:tr>
      <w:tr w:rsidR="00245EAA" w:rsidRPr="007013F2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7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JERINGA 3 ml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UNIDAD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5.000</w:t>
            </w:r>
          </w:p>
        </w:tc>
      </w:tr>
      <w:tr w:rsidR="00245EAA" w:rsidRPr="007013F2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8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JERINGA 5 ml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UNIDAD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20.000</w:t>
            </w:r>
          </w:p>
        </w:tc>
      </w:tr>
      <w:tr w:rsidR="00245EAA" w:rsidRPr="007013F2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9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ALGODÓN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 xml:space="preserve">PAQUETE x1000 </w:t>
            </w:r>
            <w:proofErr w:type="spellStart"/>
            <w:r w:rsidRPr="00900A80">
              <w:rPr>
                <w:color w:val="000000" w:themeColor="text1"/>
                <w:lang w:val="es-ES_tradnl"/>
              </w:rPr>
              <w:t>grs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100</w:t>
            </w:r>
          </w:p>
        </w:tc>
      </w:tr>
      <w:tr w:rsidR="00245EAA" w:rsidRPr="007013F2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10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GUANTE ESTÉRIL Nº 7 (CAÑA LARGA)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PARES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4.000</w:t>
            </w:r>
          </w:p>
        </w:tc>
      </w:tr>
      <w:tr w:rsidR="00245EAA" w:rsidRPr="007013F2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11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GUANTE EXÁMEN (M)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CAJA X 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600</w:t>
            </w:r>
          </w:p>
        </w:tc>
      </w:tr>
      <w:tr w:rsidR="00245EAA" w:rsidRPr="007013F2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12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TELA ADHESIVA 2,5 CM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ROLLO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144</w:t>
            </w:r>
          </w:p>
        </w:tc>
      </w:tr>
      <w:tr w:rsidR="00245EAA" w:rsidRPr="007013F2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13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AGUA OXIGENADA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ENV. X   1000 ml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100</w:t>
            </w:r>
          </w:p>
        </w:tc>
      </w:tr>
      <w:tr w:rsidR="00245EAA" w:rsidRPr="007013F2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14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 xml:space="preserve">ALCOHOL 96º 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ENV. X   1000 ml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200</w:t>
            </w:r>
          </w:p>
        </w:tc>
      </w:tr>
      <w:tr w:rsidR="00245EAA" w:rsidRPr="007013F2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15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IODOPOVIDONA 10%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ENV. X   1000 ml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70</w:t>
            </w:r>
          </w:p>
        </w:tc>
      </w:tr>
      <w:tr w:rsidR="00245EAA" w:rsidRPr="007013F2" w:rsidTr="00245EAA">
        <w:trPr>
          <w:gridAfter w:val="2"/>
          <w:wAfter w:w="445" w:type="dxa"/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16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HEBRAS HILO LINO Nº 3-0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EAA" w:rsidRPr="00900A80" w:rsidRDefault="00245EAA" w:rsidP="00245EAA">
            <w:pPr>
              <w:spacing w:after="0"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SOBRE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AA" w:rsidRPr="00900A80" w:rsidRDefault="00245EAA" w:rsidP="00245EAA">
            <w:pPr>
              <w:spacing w:after="0"/>
              <w:contextualSpacing/>
              <w:rPr>
                <w:color w:val="000000" w:themeColor="text1"/>
                <w:lang w:val="es-ES_tradnl"/>
              </w:rPr>
            </w:pPr>
            <w:r w:rsidRPr="00900A80">
              <w:rPr>
                <w:color w:val="000000" w:themeColor="text1"/>
                <w:lang w:val="es-ES_tradnl"/>
              </w:rPr>
              <w:t>4.000</w:t>
            </w:r>
          </w:p>
        </w:tc>
      </w:tr>
      <w:tr w:rsidR="00245EAA" w:rsidRPr="00900A80" w:rsidTr="00245EAA">
        <w:trPr>
          <w:trHeight w:val="554"/>
        </w:trPr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EAA" w:rsidRPr="00F24588" w:rsidRDefault="00245EAA" w:rsidP="00DC1931">
            <w:pPr>
              <w:pStyle w:val="NormalWeb"/>
              <w:tabs>
                <w:tab w:val="left" w:pos="567"/>
              </w:tabs>
              <w:spacing w:before="0" w:beforeAutospacing="0" w:after="0"/>
              <w:jc w:val="both"/>
              <w:rPr>
                <w:rFonts w:eastAsiaTheme="minorHAnsi"/>
                <w:bCs/>
                <w:lang w:val="es-ES_tradnl" w:eastAsia="en-US"/>
              </w:rPr>
            </w:pPr>
            <w:r w:rsidRPr="003520B9">
              <w:rPr>
                <w:rFonts w:eastAsiaTheme="minorHAnsi"/>
                <w:bCs/>
                <w:lang w:val="es-ES_tradnl" w:eastAsia="en-US"/>
              </w:rPr>
              <w:t xml:space="preserve">Deberán entregarse con fecha de vencimiento o expiración no menor a dieciocho (18) meses desde que fuera adjudicado. 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AA" w:rsidRPr="00900A80" w:rsidRDefault="00245EAA" w:rsidP="00DC1931">
            <w:pPr>
              <w:contextualSpacing/>
              <w:rPr>
                <w:color w:val="000000" w:themeColor="text1"/>
                <w:lang w:val="es-ES_tradnl"/>
              </w:rPr>
            </w:pP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0A" w:rsidRDefault="0046660A" w:rsidP="00044DD7">
      <w:pPr>
        <w:spacing w:after="0" w:line="240" w:lineRule="auto"/>
      </w:pPr>
      <w:r>
        <w:separator/>
      </w:r>
    </w:p>
  </w:endnote>
  <w:endnote w:type="continuationSeparator" w:id="0">
    <w:p w:rsidR="0046660A" w:rsidRDefault="0046660A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0A" w:rsidRDefault="0046660A" w:rsidP="00044DD7">
      <w:pPr>
        <w:spacing w:after="0" w:line="240" w:lineRule="auto"/>
      </w:pPr>
      <w:r>
        <w:separator/>
      </w:r>
    </w:p>
  </w:footnote>
  <w:footnote w:type="continuationSeparator" w:id="0">
    <w:p w:rsidR="0046660A" w:rsidRDefault="0046660A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91C48"/>
    <w:rsid w:val="00296C9A"/>
    <w:rsid w:val="002C77DF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6660A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177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130</cp:revision>
  <dcterms:created xsi:type="dcterms:W3CDTF">2019-01-14T11:30:00Z</dcterms:created>
  <dcterms:modified xsi:type="dcterms:W3CDTF">2019-11-13T12:04:00Z</dcterms:modified>
</cp:coreProperties>
</file>