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375B84">
        <w:rPr>
          <w:rFonts w:ascii="Arial" w:hAnsi="Arial" w:cs="Arial"/>
          <w:b/>
          <w:sz w:val="28"/>
          <w:szCs w:val="28"/>
          <w:u w:val="single"/>
        </w:rPr>
        <w:t>26</w:t>
      </w:r>
      <w:bookmarkStart w:id="0" w:name="_GoBack"/>
      <w:bookmarkEnd w:id="0"/>
      <w:r w:rsidRPr="00291C48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946"/>
        <w:gridCol w:w="1007"/>
      </w:tblGrid>
      <w:tr w:rsidR="00375B84" w:rsidTr="00375B8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Reng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Detalle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Cantidad</w:t>
            </w:r>
          </w:p>
        </w:tc>
      </w:tr>
      <w:tr w:rsidR="00375B84" w:rsidTr="00375B84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Camillas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Shockroom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con barandas.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 xml:space="preserve"> Debe contar con las siguientes características: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2. Movimientos: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a. Ajuste de altura de la plataforma del colchón, con un rango mínimo entre 60 cm y  90cm aproximadamente.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b. Ajuste de inclinación de respaldo con un ángulo máximo superior a 70°.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 xml:space="preserve">c. Accionamiento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Trendelemburg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Trendelemburg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inverso entre ±10°.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2.  Dimensiones: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a. La dimensión externa de la cama no deberá superar los 75 cm de ancho y 200 cm de largo.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b. Las dimensiones internas (colchón) deben ser de aproximadamente  65 cm de ancho y 190 cm de largo.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3  La camilla deberá tener capacidad de carga de trabajo segura de al menos 200Kg.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 xml:space="preserve">4. Debe contar con una barra de empuje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retraible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ubicada a los pies del paciente.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5. Características estructurales y de materiales: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 xml:space="preserve">a. Deben contar con espacio para colocar soportes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portasuero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en las cuatro esquinas.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b. Las barandas deben ser abatibles (no deben aumentar el ancho de la camilla en ninguna posición).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c.  Debe contar con espacio para la colocación de un cilindro de oxígeno de hasta 10 L en posición horizontal, sobre la base de la camilla.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d. Con cuatro pares de ganchos distribuidos en los laterales para sujeción de elementos o accesorios.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e.  Debe tener ruedas paragolpes de  al menos 120 mm en las 4 esquinas.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f.   Deberá contar con rieles laterales para la colocación de accesorios.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g.  La cama debe tener 4 ruedas de al menos 200 mm de diámetro, con freno centralizado accionable desde cualquiera de ellas.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Cada camilla deberá incluir lo siguiente: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o    1 (un) colchón de espuma de poliuretano de dimensiones acordes a la plataforma de la camilla, con cubierta antiestática e impermeable.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   1 (un) soporte porta suero telescópico.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>La empresa proveedora deberá contar con el registro de ANMAT del producto (presentar copia).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</w:t>
            </w:r>
          </w:p>
        </w:tc>
      </w:tr>
      <w:tr w:rsidR="00375B84" w:rsidTr="00375B84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Camilla de acero inoxidable con tapa para Morgue: Camilla de  acero inoxidable construida con acero AISI 304 para recepción y traslado en morgue con tapa. Medidas aproximadas: 2,00 X 1,10 X 0,75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</w:tr>
      <w:tr w:rsidR="00375B84" w:rsidTr="00375B84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Camilla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Shockroom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  para obesos con barandas. Debe ser eléctrica, muy baja para poder transferir y sentar al paciente. Debe llegar al menos, hasta 30 cm del piso. Debe poseer ruedas grandes para soportar el peso y fácil traslado del paciente en la cama, sobre todo sistema de batería incluido.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</w:tr>
      <w:tr w:rsidR="00375B84" w:rsidTr="00375B84">
        <w:trPr>
          <w:trHeight w:val="8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Lámpara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scialítica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para examen y curaciones portátil.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Lámpara de Techo de 1 satélite. Luz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fría. Intensidad de al menos 60.000 Lux. Vida útil de al menos 25.000 hs. Temperatura de color 5500ºK. Campo luminoso de al menos 30 cm de diámetro. Luz sin sombras.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 xml:space="preserve">Diámetro del satélite de al menos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mm.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Capacidad de rotación horizontal 360°/1,5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como mínimo. Movimiento vertical 35 cm aprox. Alimentación 220VCA. Adecuada para empleo en quirófanos con flujo laminar.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lastRenderedPageBreak/>
              <w:t>1</w:t>
            </w:r>
          </w:p>
        </w:tc>
      </w:tr>
      <w:tr w:rsidR="00375B84" w:rsidTr="00375B84">
        <w:trPr>
          <w:trHeight w:val="1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Cardiodesfibrilador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bifásico: Monitor de Electrocardiograma con pantalla., Señal de Electrocardiograma adquirido por cable a paciente de 5 broches. Derivaciones: DI, DII, DIII,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aVR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aVF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aVL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y Precordial, Indicación digital de frecuencia cardiaca, Indicador de batería baja, Indicador luminoso de batería en carga, Alarmas de Frecuencia Cardiaca con rango mínimo de 20 a 250ppm. DESFIBRILADOR: Disparo de energía por medio de pulsador en paletas o desde teclado, Modo BIFÁSICO, Llave de selección de carga por pasos con rango hasta 360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Joules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Indicación auditiva y visual de final de carga, Indicación de energía almacenada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display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Descarga de energía por paletas pulsando, simultáneamente, los dos pulsadores incorporados en éstas, Descarga directa o sincronizada. Indicación auditiva y visual del modo sincrónico.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br/>
              <w:t xml:space="preserve">REQUERIMIENTOS ENERGÉTICOS: Tensión de alimentación: 220V~ - 50 Hz o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Vcc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Batería interna recargable, Consumo aproximado: 50 VA durante la carga. Deberá incluir: 1 juego de paletas externas para adultos y 1 juego de paletas externas para niños, Cable de Alimentación para entrada de +12Vcc externos, Cable de Alimentación de línea, Cable a paciente para ECG, Electrodos Descartables, Manual de uso en español.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</w:tr>
      <w:tr w:rsidR="00375B84" w:rsidTr="00375B84">
        <w:trPr>
          <w:trHeight w:val="17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Electrocardiógrafo digital de 2 canales: con 12 derivaciones de visualización e impresión simultáneas. Con pantalla. Con impresión térmica y modo de impresión auto/manual. Velocidad de impresión: 5mm/s, 10mm/s, 25mm/s, 50mm/s. Rango de respuesta de frecuencia de al menos: 0,05Hz-150Hz. Sensibilidad: 2.5, 5, 10, 20 (mm/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Interfase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de comunicación: RS232, USB, conexión LAN. Alimentación 220V - 50hz. Debe incluir baterías internas. Se debe entregar con un carro para transporte y todos los cables, pinzas, gel, juego de electrodos reutilizable y accesorios para su correcto funcionamiento.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</w:tr>
      <w:tr w:rsidR="00375B84" w:rsidTr="00375B84">
        <w:trPr>
          <w:trHeight w:val="31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Monitor de signos vitales: Medición de ECG, Respiración, Temperatura, Presión no invasiva, Saturación de Oxígeno. Pantalla Táctil a color de al menos 11” de alta resolución de 800x600 y un máximo de 8 trazas. Batería interna recargable con autonomía de al menos 4 horas de uso continuo. Luz de alarma visible desde los 360 grados. Debe incluir registrador térmico de 3 trazos para informes. Debe contar con almacenamiento de datos con al menos 48 horas de registro completo,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menos 100 horas de tendencias gráficas y tabulares. Debe poseer capacidad LAN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puerto USB para transferir datos y actualizaciones. Apto para uso en adultos, niños y neonatal. Debe contar con registro de tendencias, alarmas audibles y visuales ajustables por el usuario, interfaz para dispositivos periféricos, salida sincronismo desfibrilador. Accesorios que deben incluirse en la propuesta: 1 (un) cable paciente ECG 5 derivaciones, 1 (un) cable extensión spo2, 1 (un) sensor de dedo p/spo2, 1 (un) manguera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nibp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1 (un) manguito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nibp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2 (dos) sensores de temperatura piel, 2 (dos) cables presión invasiva, 1 (un) cable alimentación 220VCA, batería recargable, 1 (un) soporte de pared.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</w:t>
            </w:r>
          </w:p>
        </w:tc>
      </w:tr>
      <w:tr w:rsidR="00375B84" w:rsidTr="00375B84">
        <w:trPr>
          <w:trHeight w:val="19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B84" w:rsidRDefault="0037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Monitor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Multiparamétrico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: Medición de ECG, Respiración, Temperatura, Presión no invasiva, Saturación de Oxígeno. Debe incluir módulo de medición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Capnografía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(CO2). Debe poseer pantalla táctil de al menos 8” de alta resolución de 800x600 y un máximo de 8 trazas, 1 (una) batería interna recargable con autonomía de al menos 4 horas de uso continuo, luz de alarma desde los 360 grados, registrador visible térmico de 3 trazos para informes. Debe poseer almacenamiento de datos con 48 horas de registro completo y al menos 100 horas de tendencias gráficas y tabulares. Debe poseer capacidad LAN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puerto USB para transferir datos 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lastRenderedPageBreak/>
              <w:t xml:space="preserve">actualizaciones. Apto para uso en adultos, niños y neonatal. Debe contar con registro de tendencias, alarmas audibles y visuales ajustables por el usuario, interfaz para dispositivos periféricos, salida sincronismo desfibrilador, análisis de arritmias, análisis de segmento ST, análisis de QT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QTc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. Accesorios que deben incluirse en la propuesta: 1 (un) cable paciente ECG 5 derivaciones, 1 (un) cable extensión spo2, 1 (un) sensor de dedo p/spo2, 1 (un) manguera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nibp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1 (un) manguito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nibp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2 (dos) sensores de temperatura piel, 2 (dos) cables presión invasiva, 1 (un) sensor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Capnografía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1 (un) cable alimentación 220VCA, batería recargable, tarjeta compact flash, 1 (un) soporte de pared.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84" w:rsidRDefault="0037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lastRenderedPageBreak/>
              <w:t>1</w:t>
            </w:r>
          </w:p>
        </w:tc>
      </w:tr>
    </w:tbl>
    <w:p w:rsidR="006F0A1E" w:rsidRPr="00CF34C6" w:rsidRDefault="006F0A1E" w:rsidP="00595402">
      <w:pPr>
        <w:rPr>
          <w:sz w:val="40"/>
          <w:szCs w:val="40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17" w:rsidRDefault="00471317" w:rsidP="00044DD7">
      <w:pPr>
        <w:spacing w:after="0" w:line="240" w:lineRule="auto"/>
      </w:pPr>
      <w:r>
        <w:separator/>
      </w:r>
    </w:p>
  </w:endnote>
  <w:endnote w:type="continuationSeparator" w:id="0">
    <w:p w:rsidR="00471317" w:rsidRDefault="00471317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17" w:rsidRDefault="00471317" w:rsidP="00044DD7">
      <w:pPr>
        <w:spacing w:after="0" w:line="240" w:lineRule="auto"/>
      </w:pPr>
      <w:r>
        <w:separator/>
      </w:r>
    </w:p>
  </w:footnote>
  <w:footnote w:type="continuationSeparator" w:id="0">
    <w:p w:rsidR="00471317" w:rsidRDefault="00471317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76A5A"/>
    <w:rsid w:val="006A2234"/>
    <w:rsid w:val="006A332C"/>
    <w:rsid w:val="006B6015"/>
    <w:rsid w:val="006F0A1E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947F7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D064D"/>
    <w:rsid w:val="00C06EEF"/>
    <w:rsid w:val="00C11D91"/>
    <w:rsid w:val="00C1571A"/>
    <w:rsid w:val="00C50D44"/>
    <w:rsid w:val="00C93D31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1169</Words>
  <Characters>6434</Characters>
  <Application>Microsoft Office Word</Application>
  <DocSecurity>0</DocSecurity>
  <Lines>53</Lines>
  <Paragraphs>15</Paragraphs>
  <ScaleCrop>false</ScaleCrop>
  <Company>Microsoft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41</cp:revision>
  <dcterms:created xsi:type="dcterms:W3CDTF">2019-01-14T11:30:00Z</dcterms:created>
  <dcterms:modified xsi:type="dcterms:W3CDTF">2019-04-16T12:16:00Z</dcterms:modified>
</cp:coreProperties>
</file>