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E7168" w:rsidP="00CA196D">
      <w:pPr>
        <w:jc w:val="both"/>
        <w:rPr>
          <w:sz w:val="28"/>
          <w:szCs w:val="28"/>
          <w:lang w:val="es-MX"/>
        </w:rPr>
      </w:pPr>
      <w:r>
        <w:rPr>
          <w:sz w:val="28"/>
          <w:szCs w:val="28"/>
          <w:lang w:val="es-MX"/>
        </w:rPr>
        <w:pict>
          <v:rect id="_x0000_i1025" style="width:0;height:1.5pt" o:hralign="center" o:hrstd="t" o:hr="t" fillcolor="#a0a0a0" stroked="f"/>
        </w:pict>
      </w:r>
    </w:p>
    <w:p w:rsidR="003E2868" w:rsidRPr="001C3568" w:rsidRDefault="003E2868" w:rsidP="003E2868">
      <w:pPr>
        <w:jc w:val="center"/>
        <w:rPr>
          <w:rFonts w:ascii="Arial" w:hAnsi="Arial" w:cs="Arial"/>
          <w:sz w:val="28"/>
          <w:szCs w:val="28"/>
          <w:u w:val="single"/>
        </w:rPr>
      </w:pPr>
      <w:r w:rsidRPr="001C3568">
        <w:rPr>
          <w:rFonts w:ascii="Arial" w:hAnsi="Arial" w:cs="Arial"/>
          <w:sz w:val="28"/>
          <w:szCs w:val="28"/>
          <w:u w:val="single"/>
        </w:rPr>
        <w:t xml:space="preserve">COMPRA DIRECTA  N° 68/20   </w:t>
      </w:r>
    </w:p>
    <w:p w:rsidR="003E2868" w:rsidRPr="001C3568" w:rsidRDefault="003E2868" w:rsidP="003E2868">
      <w:pPr>
        <w:jc w:val="center"/>
        <w:rPr>
          <w:rFonts w:ascii="Arial" w:hAnsi="Arial" w:cs="Arial"/>
          <w:sz w:val="28"/>
          <w:szCs w:val="28"/>
          <w:u w:val="single"/>
        </w:rPr>
      </w:pPr>
      <w:r w:rsidRPr="001C3568">
        <w:rPr>
          <w:rFonts w:ascii="Arial" w:hAnsi="Arial" w:cs="Arial"/>
          <w:sz w:val="28"/>
          <w:szCs w:val="28"/>
          <w:u w:val="single"/>
        </w:rPr>
        <w:t>LEY 783 –P.</w:t>
      </w:r>
    </w:p>
    <w:p w:rsidR="003E2868" w:rsidRPr="003E2868" w:rsidRDefault="003E2868" w:rsidP="003E2868">
      <w:pPr>
        <w:tabs>
          <w:tab w:val="left" w:pos="5610"/>
        </w:tabs>
        <w:jc w:val="center"/>
        <w:rPr>
          <w:rFonts w:ascii="Arial" w:hAnsi="Arial" w:cs="Arial"/>
          <w:sz w:val="28"/>
          <w:szCs w:val="28"/>
        </w:rPr>
      </w:pPr>
      <w:r w:rsidRPr="001C3568">
        <w:rPr>
          <w:rFonts w:ascii="Arial" w:hAnsi="Arial" w:cs="Arial"/>
          <w:sz w:val="28"/>
          <w:szCs w:val="28"/>
        </w:rPr>
        <w:t xml:space="preserve">Expediente Nº 800-004144-2020/ </w:t>
      </w:r>
      <w:r w:rsidRPr="001C3568">
        <w:rPr>
          <w:rFonts w:ascii="Arial" w:hAnsi="Arial" w:cs="Arial"/>
          <w:b/>
          <w:i/>
          <w:sz w:val="28"/>
          <w:szCs w:val="28"/>
        </w:rPr>
        <w:t>Rs.3694-MSP</w:t>
      </w:r>
      <w:r w:rsidRPr="001C3568">
        <w:rPr>
          <w:rFonts w:ascii="Arial" w:hAnsi="Arial" w:cs="Arial"/>
          <w:sz w:val="28"/>
          <w:szCs w:val="28"/>
        </w:rPr>
        <w:t>-</w:t>
      </w:r>
      <w:r w:rsidRPr="001C3568">
        <w:rPr>
          <w:rFonts w:ascii="Arial" w:hAnsi="Arial" w:cs="Arial"/>
          <w:b/>
          <w:sz w:val="28"/>
          <w:szCs w:val="28"/>
        </w:rPr>
        <w:t xml:space="preserve">2020 </w:t>
      </w:r>
      <w:r>
        <w:rPr>
          <w:rFonts w:ascii="Arial" w:hAnsi="Arial" w:cs="Arial"/>
          <w:sz w:val="28"/>
          <w:szCs w:val="28"/>
        </w:rPr>
        <w:t xml:space="preserve">           </w:t>
      </w:r>
      <w:bookmarkStart w:id="0" w:name="_GoBack"/>
      <w:bookmarkEnd w:id="0"/>
    </w:p>
    <w:p w:rsidR="003E2868" w:rsidRPr="001C3568" w:rsidRDefault="003E2868" w:rsidP="003E2868">
      <w:pPr>
        <w:contextualSpacing/>
        <w:jc w:val="both"/>
      </w:pPr>
      <w:r w:rsidRPr="001C3568">
        <w:rPr>
          <w:rFonts w:ascii="Verdana" w:hAnsi="Verdana" w:cs="Arial"/>
          <w:sz w:val="20"/>
          <w:szCs w:val="20"/>
        </w:rPr>
        <w:t xml:space="preserve">                              A realizarse la apertura el día </w:t>
      </w:r>
      <w:r>
        <w:rPr>
          <w:rFonts w:ascii="Verdana" w:hAnsi="Verdana" w:cs="Arial"/>
          <w:b/>
          <w:sz w:val="20"/>
          <w:szCs w:val="20"/>
        </w:rPr>
        <w:t>Miércoles</w:t>
      </w:r>
      <w:r w:rsidRPr="001C3568">
        <w:rPr>
          <w:rFonts w:ascii="Verdana" w:hAnsi="Verdana" w:cs="Arial"/>
          <w:b/>
          <w:sz w:val="20"/>
          <w:szCs w:val="20"/>
        </w:rPr>
        <w:t xml:space="preserve"> </w:t>
      </w:r>
      <w:r>
        <w:rPr>
          <w:rFonts w:ascii="Verdana" w:hAnsi="Verdana" w:cs="Arial"/>
          <w:b/>
          <w:sz w:val="20"/>
          <w:szCs w:val="20"/>
        </w:rPr>
        <w:t>14</w:t>
      </w:r>
      <w:r w:rsidRPr="001C3568">
        <w:rPr>
          <w:rFonts w:ascii="Verdana" w:hAnsi="Verdana" w:cs="Arial"/>
          <w:b/>
          <w:sz w:val="20"/>
          <w:szCs w:val="20"/>
        </w:rPr>
        <w:t xml:space="preserve"> (nueve) de Octubre del 2.020</w:t>
      </w:r>
      <w:r w:rsidRPr="001C3568">
        <w:rPr>
          <w:rFonts w:ascii="Verdana" w:hAnsi="Verdana" w:cs="Arial"/>
          <w:sz w:val="20"/>
          <w:szCs w:val="20"/>
        </w:rPr>
        <w:t xml:space="preserve"> </w:t>
      </w:r>
      <w:r w:rsidRPr="001C3568">
        <w:rPr>
          <w:rFonts w:ascii="Verdana" w:hAnsi="Verdana" w:cs="Arial"/>
          <w:b/>
          <w:sz w:val="20"/>
          <w:szCs w:val="20"/>
        </w:rPr>
        <w:t>y  la recepción de sobres hasta las 09:00 horas en la oficina de Departamento Compras</w:t>
      </w:r>
      <w:r w:rsidRPr="001C3568">
        <w:rPr>
          <w:rFonts w:ascii="Verdana" w:hAnsi="Verdana" w:cs="Arial"/>
          <w:sz w:val="20"/>
          <w:szCs w:val="20"/>
        </w:rPr>
        <w:t>, para la adquisición de reactivos para el programa de “Fortalecimiento de la detección precoz de enfermedades congénitas” a recién nacidos dependiente de División Materno Infancia del Ministerio de Salud Pública.</w:t>
      </w:r>
    </w:p>
    <w:p w:rsidR="003E2868" w:rsidRDefault="003E2868" w:rsidP="003E2868">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3E2868" w:rsidRDefault="003E2868" w:rsidP="003E2868">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3E2868" w:rsidRDefault="003E2868" w:rsidP="003E2868">
      <w:pPr>
        <w:pStyle w:val="Sangranormal"/>
        <w:tabs>
          <w:tab w:val="left" w:pos="1200"/>
          <w:tab w:val="left" w:pos="1680"/>
        </w:tabs>
        <w:ind w:left="0" w:firstLine="2127"/>
        <w:jc w:val="both"/>
        <w:rPr>
          <w:rFonts w:ascii="Verdana" w:hAnsi="Verdana" w:cs="Arial"/>
          <w:b/>
          <w:sz w:val="20"/>
          <w:szCs w:val="20"/>
          <w:u w:val="single"/>
        </w:rPr>
      </w:pPr>
    </w:p>
    <w:tbl>
      <w:tblPr>
        <w:tblW w:w="9938" w:type="dxa"/>
        <w:tblInd w:w="55" w:type="dxa"/>
        <w:tblCellMar>
          <w:left w:w="70" w:type="dxa"/>
          <w:right w:w="70" w:type="dxa"/>
        </w:tblCellMar>
        <w:tblLook w:val="04A0" w:firstRow="1" w:lastRow="0" w:firstColumn="1" w:lastColumn="0" w:noHBand="0" w:noVBand="1"/>
      </w:tblPr>
      <w:tblGrid>
        <w:gridCol w:w="954"/>
        <w:gridCol w:w="7425"/>
        <w:gridCol w:w="1559"/>
      </w:tblGrid>
      <w:tr w:rsidR="003E2868" w:rsidRPr="003D72CA" w:rsidTr="00E01E37">
        <w:trPr>
          <w:trHeight w:val="264"/>
        </w:trPr>
        <w:tc>
          <w:tcPr>
            <w:tcW w:w="954" w:type="dxa"/>
            <w:tcBorders>
              <w:top w:val="nil"/>
              <w:left w:val="nil"/>
              <w:bottom w:val="single" w:sz="4" w:space="0" w:color="auto"/>
              <w:right w:val="nil"/>
            </w:tcBorders>
            <w:shd w:val="clear" w:color="auto" w:fill="auto"/>
            <w:vAlign w:val="center"/>
            <w:hideMark/>
          </w:tcPr>
          <w:p w:rsidR="003E2868" w:rsidRPr="003D72CA" w:rsidRDefault="003E2868" w:rsidP="00E01E37">
            <w:pPr>
              <w:contextualSpacing/>
            </w:pPr>
            <w:r w:rsidRPr="003D72CA">
              <w:t>Renglón</w:t>
            </w:r>
          </w:p>
        </w:tc>
        <w:tc>
          <w:tcPr>
            <w:tcW w:w="7425" w:type="dxa"/>
            <w:tcBorders>
              <w:top w:val="nil"/>
              <w:left w:val="nil"/>
              <w:bottom w:val="single" w:sz="4" w:space="0" w:color="auto"/>
              <w:right w:val="nil"/>
            </w:tcBorders>
            <w:shd w:val="clear" w:color="auto" w:fill="auto"/>
            <w:vAlign w:val="center"/>
            <w:hideMark/>
          </w:tcPr>
          <w:p w:rsidR="003E2868" w:rsidRPr="003D72CA" w:rsidRDefault="003E2868" w:rsidP="00E01E37">
            <w:pPr>
              <w:contextualSpacing/>
            </w:pPr>
            <w:r w:rsidRPr="003D72CA">
              <w:t xml:space="preserve">Detalle </w:t>
            </w:r>
          </w:p>
        </w:tc>
        <w:tc>
          <w:tcPr>
            <w:tcW w:w="1559" w:type="dxa"/>
            <w:tcBorders>
              <w:top w:val="nil"/>
              <w:left w:val="nil"/>
              <w:bottom w:val="single" w:sz="4" w:space="0" w:color="auto"/>
              <w:right w:val="nil"/>
            </w:tcBorders>
            <w:shd w:val="clear" w:color="auto" w:fill="auto"/>
            <w:vAlign w:val="center"/>
            <w:hideMark/>
          </w:tcPr>
          <w:p w:rsidR="003E2868" w:rsidRPr="003D72CA" w:rsidRDefault="003E2868" w:rsidP="00E01E37">
            <w:pPr>
              <w:contextualSpacing/>
            </w:pPr>
            <w:r w:rsidRPr="003D72CA">
              <w:t>Cantidad</w:t>
            </w:r>
          </w:p>
        </w:tc>
      </w:tr>
      <w:tr w:rsidR="003E2868" w:rsidRPr="003D72CA" w:rsidTr="00E01E37">
        <w:trPr>
          <w:trHeight w:val="44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868" w:rsidRPr="003D72CA" w:rsidRDefault="003E2868" w:rsidP="00E01E37">
            <w:pPr>
              <w:contextualSpacing/>
              <w:rPr>
                <w:b/>
                <w:bCs/>
                <w:lang w:val="es-ES_tradnl"/>
              </w:rPr>
            </w:pPr>
            <w:r w:rsidRPr="003D72CA">
              <w:rPr>
                <w:b/>
                <w:bCs/>
                <w:lang w:val="es-ES_tradnl"/>
              </w:rPr>
              <w:t>1</w:t>
            </w:r>
          </w:p>
        </w:tc>
        <w:tc>
          <w:tcPr>
            <w:tcW w:w="7425" w:type="dxa"/>
            <w:tcBorders>
              <w:top w:val="single" w:sz="4" w:space="0" w:color="auto"/>
              <w:left w:val="nil"/>
              <w:bottom w:val="single" w:sz="4" w:space="0" w:color="auto"/>
              <w:right w:val="single" w:sz="4" w:space="0" w:color="auto"/>
            </w:tcBorders>
            <w:shd w:val="clear" w:color="000000" w:fill="FFFFFF"/>
            <w:vAlign w:val="center"/>
            <w:hideMark/>
          </w:tcPr>
          <w:p w:rsidR="003E2868" w:rsidRPr="003D72CA" w:rsidRDefault="003E2868" w:rsidP="00E01E37">
            <w:pPr>
              <w:contextualSpacing/>
              <w:rPr>
                <w:lang w:val="es-ES_tradnl"/>
              </w:rPr>
            </w:pPr>
            <w:r w:rsidRPr="003D72CA">
              <w:rPr>
                <w:lang w:val="es-ES_tradnl"/>
              </w:rPr>
              <w:t xml:space="preserve">Kits de FENILALANILA (PKU) x 192 determinaciones.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E2868" w:rsidRPr="003D72CA" w:rsidRDefault="003E2868" w:rsidP="00E01E37">
            <w:pPr>
              <w:contextualSpacing/>
              <w:rPr>
                <w:lang w:val="es-ES_tradnl"/>
              </w:rPr>
            </w:pPr>
            <w:r w:rsidRPr="003D72CA">
              <w:rPr>
                <w:lang w:val="es-ES_tradnl"/>
              </w:rPr>
              <w:t>2</w:t>
            </w:r>
          </w:p>
        </w:tc>
      </w:tr>
      <w:tr w:rsidR="003E2868" w:rsidRPr="003D72CA" w:rsidTr="00E01E37">
        <w:trPr>
          <w:trHeight w:val="42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868" w:rsidRPr="003D72CA" w:rsidRDefault="003E2868" w:rsidP="00E01E37">
            <w:pPr>
              <w:contextualSpacing/>
              <w:rPr>
                <w:b/>
                <w:bCs/>
                <w:lang w:val="es-ES_tradnl"/>
              </w:rPr>
            </w:pPr>
            <w:r w:rsidRPr="003D72CA">
              <w:rPr>
                <w:b/>
                <w:bCs/>
                <w:lang w:val="es-ES_tradnl"/>
              </w:rPr>
              <w:t>2</w:t>
            </w:r>
          </w:p>
        </w:tc>
        <w:tc>
          <w:tcPr>
            <w:tcW w:w="7425" w:type="dxa"/>
            <w:tcBorders>
              <w:top w:val="single" w:sz="4" w:space="0" w:color="auto"/>
              <w:left w:val="nil"/>
              <w:bottom w:val="single" w:sz="4" w:space="0" w:color="auto"/>
              <w:right w:val="single" w:sz="4" w:space="0" w:color="auto"/>
            </w:tcBorders>
            <w:shd w:val="clear" w:color="000000" w:fill="FFFFFF"/>
            <w:vAlign w:val="center"/>
            <w:hideMark/>
          </w:tcPr>
          <w:p w:rsidR="003E2868" w:rsidRPr="003D72CA" w:rsidRDefault="003E2868" w:rsidP="00E01E37">
            <w:pPr>
              <w:contextualSpacing/>
              <w:rPr>
                <w:lang w:val="es-ES_tradnl"/>
              </w:rPr>
            </w:pPr>
            <w:r w:rsidRPr="003D72CA">
              <w:rPr>
                <w:lang w:val="es-ES_tradnl"/>
              </w:rPr>
              <w:t>TRIPSINA x 192 determinaciones.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E2868" w:rsidRPr="003D72CA" w:rsidRDefault="003E2868" w:rsidP="00E01E37">
            <w:pPr>
              <w:contextualSpacing/>
              <w:rPr>
                <w:lang w:val="es-ES_tradnl"/>
              </w:rPr>
            </w:pPr>
            <w:r w:rsidRPr="003D72CA">
              <w:rPr>
                <w:lang w:val="es-ES_tradnl"/>
              </w:rPr>
              <w:t>2</w:t>
            </w:r>
          </w:p>
        </w:tc>
      </w:tr>
    </w:tbl>
    <w:p w:rsidR="003E2868" w:rsidRPr="00284C7A" w:rsidRDefault="003E2868" w:rsidP="003E2868">
      <w:pPr>
        <w:pStyle w:val="Sangranormal"/>
        <w:tabs>
          <w:tab w:val="left" w:pos="1200"/>
          <w:tab w:val="left" w:pos="1680"/>
        </w:tabs>
        <w:ind w:left="0"/>
        <w:jc w:val="both"/>
        <w:rPr>
          <w:rFonts w:ascii="Verdana" w:hAnsi="Verdana" w:cs="Arial"/>
          <w:color w:val="FF0000"/>
          <w:sz w:val="28"/>
          <w:szCs w:val="20"/>
        </w:rPr>
      </w:pPr>
    </w:p>
    <w:p w:rsidR="003E2868" w:rsidRPr="00AD1946" w:rsidRDefault="003E2868" w:rsidP="003E2868">
      <w:pPr>
        <w:spacing w:after="0"/>
        <w:jc w:val="center"/>
        <w:rPr>
          <w:b/>
        </w:rPr>
      </w:pPr>
      <w:r w:rsidRPr="00AD1946">
        <w:rPr>
          <w:b/>
        </w:rPr>
        <w:t xml:space="preserve">ANEXO I </w:t>
      </w:r>
    </w:p>
    <w:p w:rsidR="003E2868" w:rsidRPr="00AD1946" w:rsidRDefault="003E2868" w:rsidP="003E2868">
      <w:pPr>
        <w:jc w:val="center"/>
        <w:rPr>
          <w:b/>
        </w:rPr>
      </w:pPr>
      <w:r w:rsidRPr="00AD1946">
        <w:rPr>
          <w:b/>
        </w:rPr>
        <w:t>Clausulas particulares para la compra de re</w:t>
      </w:r>
      <w:r>
        <w:rPr>
          <w:b/>
        </w:rPr>
        <w:t>activos</w:t>
      </w:r>
    </w:p>
    <w:p w:rsidR="003E2868" w:rsidRPr="00AD1946" w:rsidRDefault="003E2868" w:rsidP="003E2868">
      <w:r w:rsidRPr="00AD1946">
        <w:t>PROCESO: Compra Directa N° 68/20.</w:t>
      </w:r>
    </w:p>
    <w:p w:rsidR="003E2868" w:rsidRPr="00AD1946" w:rsidRDefault="003E2868" w:rsidP="003E2868">
      <w:r w:rsidRPr="00AD1946">
        <w:t>EXPEDIENTE: 800-004144-2020.</w:t>
      </w:r>
    </w:p>
    <w:p w:rsidR="003E2868" w:rsidRPr="00AD1946" w:rsidRDefault="003E2868" w:rsidP="003E2868">
      <w:pPr>
        <w:jc w:val="both"/>
      </w:pPr>
      <w:r w:rsidRPr="00AD1946">
        <w:t>OBJETO: compra de reactivos para el programa de “Fortalecimiento de la detección precoz de enfermedades congénitas” a recién nacidos dependiente de División Materno Infancia del Ministerio de Salud Pública.</w:t>
      </w:r>
    </w:p>
    <w:p w:rsidR="003E2868" w:rsidRPr="00AD1946" w:rsidRDefault="003E2868" w:rsidP="003E2868">
      <w:pPr>
        <w:jc w:val="both"/>
      </w:pPr>
      <w:r w:rsidRPr="00AD1946">
        <w:t>VALOR DEL PLIEGO: $ 300,00.-  (Pesos Trescientos con 00/100.-).</w:t>
      </w:r>
    </w:p>
    <w:p w:rsidR="003E2868" w:rsidRPr="00AD1946" w:rsidRDefault="003E2868" w:rsidP="003E2868">
      <w:pPr>
        <w:jc w:val="both"/>
      </w:pPr>
      <w:r w:rsidRPr="00AD1946">
        <w:t>CÓDIGO SUGERIDO DE ACTIVIDAD: 202908 – 465350.</w:t>
      </w:r>
    </w:p>
    <w:p w:rsidR="003E2868" w:rsidRPr="00AA2D5B" w:rsidRDefault="003E2868" w:rsidP="003E2868">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3E2868" w:rsidRPr="006D6B2D" w:rsidRDefault="003E2868" w:rsidP="003E2868">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3E2868" w:rsidRDefault="003E2868" w:rsidP="003E2868">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3E2868" w:rsidRPr="00E12E66" w:rsidRDefault="003E2868" w:rsidP="003E2868">
      <w:pPr>
        <w:widowControl w:val="0"/>
        <w:spacing w:after="100" w:afterAutospacing="1"/>
        <w:jc w:val="both"/>
        <w:rPr>
          <w:bCs/>
          <w:lang w:val="es-ES_tradnl"/>
        </w:rPr>
      </w:pPr>
      <w:r w:rsidRPr="008F6A37">
        <w:rPr>
          <w:bCs/>
          <w:lang w:val="es-ES_tradnl"/>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3E2868" w:rsidRPr="00E12E66" w:rsidRDefault="003E2868" w:rsidP="003E2868">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3E2868" w:rsidRPr="00E12E66" w:rsidRDefault="003E2868" w:rsidP="003E2868">
      <w:pPr>
        <w:widowControl w:val="0"/>
        <w:spacing w:after="100" w:afterAutospacing="1"/>
        <w:ind w:left="425"/>
        <w:jc w:val="both"/>
        <w:rPr>
          <w:b/>
          <w:bCs/>
          <w:u w:val="single"/>
          <w:lang w:val="es-ES_tradnl"/>
        </w:rPr>
      </w:pPr>
      <w:r w:rsidRPr="00E12E66">
        <w:rPr>
          <w:b/>
          <w:bCs/>
          <w:u w:val="single"/>
          <w:lang w:val="es-ES_tradnl"/>
        </w:rPr>
        <w:t>DOCUMENTACIÓN GENERAL</w:t>
      </w:r>
    </w:p>
    <w:p w:rsidR="003E2868" w:rsidRPr="00090C8C" w:rsidRDefault="003E2868" w:rsidP="003E2868">
      <w:pPr>
        <w:numPr>
          <w:ilvl w:val="0"/>
          <w:numId w:val="14"/>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3E2868" w:rsidRPr="00E12E66" w:rsidRDefault="003E2868" w:rsidP="003E2868">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3E2868" w:rsidRPr="00E12E66" w:rsidRDefault="003E2868" w:rsidP="003E2868">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3E2868" w:rsidRPr="00E12E66" w:rsidRDefault="003E2868" w:rsidP="003E2868">
      <w:pPr>
        <w:numPr>
          <w:ilvl w:val="0"/>
          <w:numId w:val="14"/>
        </w:numPr>
        <w:suppressAutoHyphens/>
        <w:spacing w:after="120" w:line="240" w:lineRule="auto"/>
        <w:ind w:left="851" w:hanging="357"/>
        <w:jc w:val="both"/>
        <w:rPr>
          <w:bCs/>
          <w:lang w:val="es-ES_tradnl"/>
        </w:rPr>
      </w:pPr>
      <w:r w:rsidRPr="00E12E66">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3E2868" w:rsidRPr="00E12E66" w:rsidRDefault="003E2868" w:rsidP="003E2868">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3E2868" w:rsidRPr="00E12E66" w:rsidRDefault="003E2868" w:rsidP="003E2868">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3E2868" w:rsidRPr="00E12E66" w:rsidRDefault="003E2868" w:rsidP="003E2868">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3E2868" w:rsidRPr="00E12E66" w:rsidRDefault="003E2868" w:rsidP="003E2868">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3E2868" w:rsidRPr="00E12E66" w:rsidRDefault="003E2868" w:rsidP="003E2868">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3E2868" w:rsidRPr="00E12E66" w:rsidRDefault="003E2868" w:rsidP="003E2868">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3E2868" w:rsidRPr="00E12E66" w:rsidRDefault="003E2868" w:rsidP="003E2868">
      <w:pPr>
        <w:numPr>
          <w:ilvl w:val="0"/>
          <w:numId w:val="11"/>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3E2868" w:rsidRPr="00E12E66" w:rsidRDefault="003E2868" w:rsidP="003E2868">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3E2868" w:rsidRPr="00E12E66" w:rsidRDefault="003E2868" w:rsidP="003E2868">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3E2868" w:rsidRPr="00E12E66" w:rsidRDefault="003E2868" w:rsidP="003E2868">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3E2868" w:rsidRDefault="003E2868" w:rsidP="003E2868">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w:t>
      </w:r>
      <w:r w:rsidRPr="00E12E66">
        <w:rPr>
          <w:bCs/>
          <w:lang w:val="es-ES_tradnl"/>
        </w:rPr>
        <w:lastRenderedPageBreak/>
        <w:t xml:space="preserve">de extrañas jurisdicciones, deberán estar certificadas por el Colegio de Escribanos de la provincia donde se hubiera realizado la certificación.  </w:t>
      </w:r>
    </w:p>
    <w:p w:rsidR="003E2868" w:rsidRPr="00593911" w:rsidRDefault="003E2868" w:rsidP="003E2868">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3E2868" w:rsidRDefault="003E2868" w:rsidP="003E2868">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3E2868" w:rsidRDefault="003E2868" w:rsidP="003E2868">
      <w:pPr>
        <w:ind w:left="425"/>
        <w:jc w:val="both"/>
        <w:rPr>
          <w:bCs/>
          <w:u w:val="single"/>
          <w:lang w:val="es-ES_tradnl"/>
        </w:rPr>
      </w:pPr>
      <w:r>
        <w:rPr>
          <w:bCs/>
          <w:lang w:val="es-ES_tradnl"/>
        </w:rPr>
        <w:t xml:space="preserve">b) </w:t>
      </w:r>
      <w:r>
        <w:rPr>
          <w:bCs/>
          <w:u w:val="single"/>
          <w:lang w:val="es-ES_tradnl"/>
        </w:rPr>
        <w:t>Aval bancario.</w:t>
      </w:r>
    </w:p>
    <w:p w:rsidR="003E2868" w:rsidRPr="009B610F" w:rsidRDefault="003E2868" w:rsidP="003E2868">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3E2868" w:rsidRPr="009B610F" w:rsidRDefault="003E2868" w:rsidP="003E2868">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E2868" w:rsidRPr="009B610F" w:rsidRDefault="003E2868" w:rsidP="003E2868">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3E2868" w:rsidRPr="009B610F" w:rsidRDefault="003E2868" w:rsidP="003E2868">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3E2868" w:rsidRDefault="003E2868" w:rsidP="003E2868">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3E2868" w:rsidRDefault="003E2868" w:rsidP="003E286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3E2868" w:rsidRDefault="003E2868" w:rsidP="003E2868">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3E2868" w:rsidRDefault="003E2868" w:rsidP="003E2868">
      <w:pPr>
        <w:pStyle w:val="NormalWeb"/>
        <w:spacing w:before="0" w:beforeAutospacing="0" w:after="0" w:line="276" w:lineRule="auto"/>
        <w:jc w:val="both"/>
        <w:rPr>
          <w:rFonts w:eastAsiaTheme="minorHAnsi"/>
          <w:bCs/>
          <w:lang w:val="es-ES_tradnl" w:eastAsia="en-US"/>
        </w:rPr>
      </w:pPr>
    </w:p>
    <w:p w:rsidR="003E2868" w:rsidRDefault="003E2868" w:rsidP="003E2868">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3E2868" w:rsidRDefault="003E2868" w:rsidP="003E286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3E2868" w:rsidRDefault="003E2868" w:rsidP="003E286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3E2868" w:rsidRDefault="003E2868" w:rsidP="003E286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3E2868" w:rsidRDefault="003E2868" w:rsidP="003E2868">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3E2868" w:rsidRDefault="003E2868" w:rsidP="003E286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3E2868" w:rsidRDefault="003E2868" w:rsidP="003E286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3E2868" w:rsidRDefault="003E2868" w:rsidP="003E286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3E2868" w:rsidRPr="00605C88" w:rsidRDefault="003E2868" w:rsidP="003E286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E2868" w:rsidRPr="00E12E66" w:rsidRDefault="003E2868" w:rsidP="003E2868">
      <w:pPr>
        <w:suppressAutoHyphens/>
        <w:spacing w:after="120"/>
        <w:ind w:left="851"/>
        <w:jc w:val="both"/>
        <w:rPr>
          <w:bCs/>
          <w:lang w:val="es-ES_tradnl"/>
        </w:rPr>
      </w:pPr>
    </w:p>
    <w:p w:rsidR="003E2868" w:rsidRPr="00E12E66" w:rsidRDefault="003E2868" w:rsidP="003E2868">
      <w:pPr>
        <w:numPr>
          <w:ilvl w:val="0"/>
          <w:numId w:val="14"/>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3E2868" w:rsidRPr="00E12E66" w:rsidRDefault="003E2868" w:rsidP="003E2868">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3E2868" w:rsidRPr="00E12E66" w:rsidRDefault="003E2868" w:rsidP="003E2868">
      <w:pPr>
        <w:widowControl w:val="0"/>
        <w:numPr>
          <w:ilvl w:val="0"/>
          <w:numId w:val="14"/>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3E2868" w:rsidRPr="00E12E66" w:rsidRDefault="003E2868" w:rsidP="003E2868">
      <w:pPr>
        <w:widowControl w:val="0"/>
        <w:ind w:left="851"/>
        <w:jc w:val="both"/>
        <w:rPr>
          <w:bCs/>
          <w:lang w:val="es-ES_tradnl"/>
        </w:rPr>
      </w:pPr>
      <w:r w:rsidRPr="00E12E66">
        <w:rPr>
          <w:bCs/>
          <w:lang w:val="es-ES_tradnl"/>
        </w:rPr>
        <w:t xml:space="preserve">El aviso de retiro de la propuesta deberá hacerse en todos los casos en forma fehaciente y con un máximo de Cinco (5) días hábiles posteriores a la fecha de apertura. </w:t>
      </w:r>
    </w:p>
    <w:p w:rsidR="003E2868" w:rsidRPr="007D34C3" w:rsidRDefault="003E2868" w:rsidP="003E2868">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3E2868" w:rsidRDefault="003E2868" w:rsidP="003E2868">
      <w:pPr>
        <w:widowControl w:val="0"/>
        <w:numPr>
          <w:ilvl w:val="0"/>
          <w:numId w:val="13"/>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3E2868" w:rsidRDefault="003E2868" w:rsidP="003E2868">
      <w:pPr>
        <w:widowControl w:val="0"/>
        <w:ind w:left="426"/>
        <w:jc w:val="both"/>
        <w:rPr>
          <w:bCs/>
          <w:lang w:val="es-ES_tradnl"/>
        </w:rPr>
      </w:pPr>
      <w:r>
        <w:rPr>
          <w:bCs/>
          <w:lang w:val="es-ES_tradnl"/>
        </w:rPr>
        <w:t xml:space="preserve"> </w:t>
      </w:r>
    </w:p>
    <w:p w:rsidR="003E2868" w:rsidRDefault="003E2868" w:rsidP="003E286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3E2868" w:rsidRPr="00AD1946" w:rsidRDefault="003E2868" w:rsidP="003E286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3E2868" w:rsidRPr="00291346" w:rsidRDefault="003E2868" w:rsidP="003E286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3E2868" w:rsidRPr="001E7EBE" w:rsidRDefault="003E2868" w:rsidP="003E2868">
      <w:pPr>
        <w:numPr>
          <w:ilvl w:val="0"/>
          <w:numId w:val="10"/>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3E2868" w:rsidRPr="001E7EBE" w:rsidRDefault="003E2868" w:rsidP="003E2868">
      <w:pPr>
        <w:numPr>
          <w:ilvl w:val="0"/>
          <w:numId w:val="10"/>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3E2868" w:rsidRPr="001E7EBE" w:rsidRDefault="003E2868" w:rsidP="003E2868">
      <w:pPr>
        <w:numPr>
          <w:ilvl w:val="0"/>
          <w:numId w:val="10"/>
        </w:numPr>
        <w:suppressAutoHyphens/>
        <w:spacing w:after="0" w:afterAutospacing="1" w:line="240" w:lineRule="auto"/>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3E2868" w:rsidRPr="00012FC5" w:rsidRDefault="003E2868" w:rsidP="003E2868">
      <w:pPr>
        <w:numPr>
          <w:ilvl w:val="0"/>
          <w:numId w:val="15"/>
        </w:numPr>
        <w:spacing w:after="100" w:afterAutospacing="1" w:line="240" w:lineRule="auto"/>
        <w:ind w:left="720" w:hanging="720"/>
        <w:jc w:val="both"/>
        <w:rPr>
          <w:bCs/>
          <w:lang w:val="es-ES_tradnl"/>
        </w:rPr>
      </w:pPr>
      <w:r w:rsidRPr="00012FC5">
        <w:rPr>
          <w:b/>
          <w:bCs/>
          <w:lang w:val="es-ES_tradnl"/>
        </w:rPr>
        <w:t>Rechazo Automático</w:t>
      </w:r>
      <w:r w:rsidRPr="00012FC5">
        <w:rPr>
          <w:bCs/>
          <w:lang w:val="es-ES_tradnl"/>
        </w:rPr>
        <w:t>:</w:t>
      </w:r>
    </w:p>
    <w:p w:rsidR="003E2868" w:rsidRPr="00012FC5" w:rsidRDefault="003E2868" w:rsidP="003E2868">
      <w:pPr>
        <w:spacing w:after="100" w:afterAutospacing="1"/>
        <w:jc w:val="both"/>
        <w:rPr>
          <w:bCs/>
          <w:lang w:val="es-ES_tradnl"/>
        </w:rPr>
      </w:pPr>
      <w:r w:rsidRPr="00012FC5">
        <w:rPr>
          <w:bCs/>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3E2868" w:rsidRPr="00935073" w:rsidRDefault="003E2868" w:rsidP="003E2868">
      <w:pPr>
        <w:numPr>
          <w:ilvl w:val="0"/>
          <w:numId w:val="15"/>
        </w:numPr>
        <w:spacing w:after="100" w:afterAutospacing="1" w:line="240" w:lineRule="auto"/>
        <w:ind w:left="720" w:hanging="720"/>
        <w:jc w:val="both"/>
        <w:rPr>
          <w:b/>
          <w:bCs/>
          <w:lang w:val="es-ES_tradnl"/>
        </w:rPr>
      </w:pPr>
      <w:r>
        <w:rPr>
          <w:b/>
          <w:bCs/>
          <w:lang w:val="es-ES_tradnl"/>
        </w:rPr>
        <w:t xml:space="preserve">Disposiciones generales: </w:t>
      </w:r>
    </w:p>
    <w:p w:rsidR="003E2868" w:rsidRPr="001E7EBE" w:rsidRDefault="003E2868" w:rsidP="003E2868">
      <w:pPr>
        <w:widowControl w:val="0"/>
        <w:numPr>
          <w:ilvl w:val="0"/>
          <w:numId w:val="12"/>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3E2868" w:rsidRDefault="003E2868" w:rsidP="003E286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 xml:space="preserve">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w:t>
      </w:r>
      <w:r w:rsidRPr="001E7EBE">
        <w:rPr>
          <w:rFonts w:eastAsiaTheme="minorHAnsi"/>
          <w:bCs/>
          <w:lang w:val="es-ES_tradnl" w:eastAsia="en-US"/>
        </w:rPr>
        <w:lastRenderedPageBreak/>
        <w:t>cualquier rubro; renunciando a cualquier reclamo en tal concepto con la sola presentación de la oferta (art. 79 Ley 55-I).</w:t>
      </w:r>
    </w:p>
    <w:p w:rsidR="003E2868" w:rsidRPr="001E7EBE" w:rsidRDefault="003E2868" w:rsidP="003E2868">
      <w:pPr>
        <w:pStyle w:val="NormalWeb"/>
        <w:spacing w:before="0" w:beforeAutospacing="0" w:after="0"/>
        <w:ind w:left="426"/>
        <w:jc w:val="both"/>
        <w:rPr>
          <w:rFonts w:eastAsiaTheme="minorHAnsi"/>
          <w:bCs/>
          <w:lang w:val="es-ES_tradnl" w:eastAsia="en-US"/>
        </w:rPr>
      </w:pPr>
    </w:p>
    <w:p w:rsidR="003E2868" w:rsidRDefault="003E2868" w:rsidP="003E2868">
      <w:pPr>
        <w:widowControl w:val="0"/>
        <w:numPr>
          <w:ilvl w:val="0"/>
          <w:numId w:val="12"/>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3E2868" w:rsidRPr="007D34C3" w:rsidRDefault="003E2868" w:rsidP="003E2868">
      <w:pPr>
        <w:widowControl w:val="0"/>
        <w:suppressAutoHyphens/>
        <w:ind w:left="426" w:right="74"/>
        <w:jc w:val="both"/>
        <w:rPr>
          <w:bCs/>
          <w:lang w:val="es-ES_tradnl"/>
        </w:rPr>
      </w:pPr>
    </w:p>
    <w:p w:rsidR="003E2868" w:rsidRPr="001E7EBE" w:rsidRDefault="003E2868" w:rsidP="003E2868">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3E2868" w:rsidRPr="001E7EBE" w:rsidRDefault="003E2868" w:rsidP="003E286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3E2868" w:rsidRPr="001E7EBE" w:rsidRDefault="003E2868" w:rsidP="003E2868">
      <w:pPr>
        <w:pStyle w:val="NormalWeb"/>
        <w:spacing w:before="0" w:beforeAutospacing="0" w:after="0"/>
        <w:ind w:left="426"/>
        <w:jc w:val="both"/>
        <w:rPr>
          <w:rFonts w:eastAsiaTheme="minorHAnsi"/>
          <w:b/>
          <w:bCs/>
          <w:lang w:val="es-ES_tradnl" w:eastAsia="en-US"/>
        </w:rPr>
      </w:pPr>
    </w:p>
    <w:p w:rsidR="003E2868" w:rsidRDefault="003E2868" w:rsidP="003E2868">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3E2868" w:rsidRPr="003E2868" w:rsidRDefault="003E2868" w:rsidP="003E2868">
      <w:pPr>
        <w:suppressAutoHyphens/>
        <w:spacing w:after="0" w:line="240" w:lineRule="auto"/>
        <w:ind w:left="426"/>
        <w:jc w:val="both"/>
        <w:rPr>
          <w:bCs/>
          <w:lang w:val="es-ES_tradnl"/>
        </w:rPr>
      </w:pPr>
    </w:p>
    <w:p w:rsidR="003E2868" w:rsidRDefault="003E2868" w:rsidP="003E2868">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3E2868" w:rsidRPr="003E2868" w:rsidRDefault="003E2868" w:rsidP="003E2868">
      <w:pPr>
        <w:suppressAutoHyphens/>
        <w:spacing w:after="0" w:line="240" w:lineRule="auto"/>
        <w:jc w:val="both"/>
        <w:rPr>
          <w:bCs/>
          <w:lang w:val="es-ES_tradnl"/>
        </w:rPr>
      </w:pPr>
    </w:p>
    <w:p w:rsidR="003E2868" w:rsidRPr="00031FA6" w:rsidRDefault="003E2868" w:rsidP="003E2868">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3E2868" w:rsidRDefault="003E2868" w:rsidP="003E2868">
      <w:pPr>
        <w:ind w:left="425"/>
        <w:jc w:val="both"/>
        <w:rPr>
          <w:bCs/>
          <w:u w:val="single"/>
          <w:lang w:val="es-ES_tradnl"/>
        </w:rPr>
      </w:pPr>
      <w:r>
        <w:rPr>
          <w:bCs/>
          <w:lang w:val="es-ES_tradnl"/>
        </w:rPr>
        <w:t xml:space="preserve">b) </w:t>
      </w:r>
      <w:r w:rsidRPr="00031FA6">
        <w:rPr>
          <w:bCs/>
          <w:u w:val="single"/>
          <w:lang w:val="es-ES_tradnl"/>
        </w:rPr>
        <w:t>Aval bancario.</w:t>
      </w:r>
    </w:p>
    <w:p w:rsidR="003E2868" w:rsidRPr="009B610F" w:rsidRDefault="003E2868" w:rsidP="003E2868">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3E2868" w:rsidRPr="009B610F" w:rsidRDefault="003E2868" w:rsidP="003E2868">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E2868" w:rsidRPr="009B610F" w:rsidRDefault="003E2868" w:rsidP="003E2868">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3E2868" w:rsidRPr="009B610F" w:rsidRDefault="003E2868" w:rsidP="003E2868">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3E2868" w:rsidRPr="00C413E3" w:rsidRDefault="003E2868" w:rsidP="003E2868">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3E2868" w:rsidRPr="00E55FF1" w:rsidRDefault="003E2868" w:rsidP="003E286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3E2868" w:rsidRPr="00E55FF1" w:rsidRDefault="003E2868" w:rsidP="003E2868">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 Manifestación de Bienes o Estados Contables del último ejercicio, se trate de persona física o jurídica, firmado por Contador Público y certificado por el Consejo de Ciencias Económicas que corresponda.</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3E2868"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p>
    <w:p w:rsidR="003E2868" w:rsidRPr="00E55FF1" w:rsidRDefault="003E2868" w:rsidP="003E2868">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3E2868" w:rsidRPr="00E55FF1" w:rsidRDefault="003E2868" w:rsidP="003E286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3E2868" w:rsidRPr="00E55FF1" w:rsidRDefault="003E2868" w:rsidP="003E286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3E2868" w:rsidRPr="00E55FF1" w:rsidRDefault="003E2868" w:rsidP="003E286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3E2868" w:rsidRPr="00E55FF1" w:rsidRDefault="003E2868" w:rsidP="003E286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3E2868" w:rsidRPr="00E55FF1" w:rsidRDefault="003E2868" w:rsidP="003E2868">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3E2868" w:rsidRPr="00E55FF1" w:rsidRDefault="003E2868" w:rsidP="003E286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3E2868" w:rsidRPr="00E55FF1" w:rsidRDefault="003E2868" w:rsidP="003E286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3E2868" w:rsidRPr="00E55FF1" w:rsidRDefault="003E2868" w:rsidP="003E286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3E2868" w:rsidRPr="00605C88" w:rsidRDefault="003E2868" w:rsidP="003E286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E2868" w:rsidRPr="001E7EBE" w:rsidRDefault="003E2868" w:rsidP="003E2868">
      <w:pPr>
        <w:suppressAutoHyphens/>
        <w:ind w:left="426"/>
        <w:jc w:val="both"/>
        <w:rPr>
          <w:bCs/>
          <w:lang w:val="es-ES_tradnl"/>
        </w:rPr>
      </w:pPr>
    </w:p>
    <w:p w:rsidR="003E2868" w:rsidRPr="00006C5E" w:rsidRDefault="003E2868" w:rsidP="003E2868">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3E2868" w:rsidRDefault="003E2868" w:rsidP="003E2868">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3E2868" w:rsidRPr="008B3756" w:rsidRDefault="003E2868" w:rsidP="003E2868">
      <w:pPr>
        <w:pStyle w:val="NormalWeb"/>
        <w:spacing w:before="0" w:beforeAutospacing="0" w:after="0"/>
        <w:jc w:val="both"/>
        <w:rPr>
          <w:rFonts w:eastAsiaTheme="minorHAnsi"/>
          <w:bCs/>
          <w:lang w:val="es-ES_tradnl" w:eastAsia="en-US"/>
        </w:rPr>
      </w:pPr>
      <w:r>
        <w:t xml:space="preserve">1) Causales de Suspensión por el plazo de 180 días: </w:t>
      </w:r>
    </w:p>
    <w:p w:rsidR="003E2868" w:rsidRDefault="003E2868" w:rsidP="003E2868">
      <w:pPr>
        <w:pStyle w:val="NormalWeb"/>
        <w:spacing w:before="0" w:beforeAutospacing="0" w:after="0"/>
        <w:ind w:left="426"/>
        <w:jc w:val="both"/>
      </w:pPr>
      <w:r>
        <w:t xml:space="preserve">a) Incumplir en forma total o parcial con la entrega de los bienes o la realización de los servicios. </w:t>
      </w:r>
    </w:p>
    <w:p w:rsidR="003E2868" w:rsidRDefault="003E2868" w:rsidP="003E2868">
      <w:pPr>
        <w:pStyle w:val="NormalWeb"/>
        <w:spacing w:before="0" w:beforeAutospacing="0" w:after="0"/>
        <w:ind w:left="426"/>
        <w:jc w:val="both"/>
      </w:pPr>
      <w:r>
        <w:t xml:space="preserve">b) Entregar los bienes o prestar los servicios fuera del término en más de dos oportunidades, dentro del mismo ejercicio. </w:t>
      </w:r>
    </w:p>
    <w:p w:rsidR="003E2868" w:rsidRDefault="003E2868" w:rsidP="003E2868">
      <w:pPr>
        <w:pStyle w:val="NormalWeb"/>
        <w:spacing w:before="0" w:beforeAutospacing="0" w:after="0"/>
        <w:ind w:left="426"/>
        <w:jc w:val="both"/>
      </w:pPr>
      <w:r>
        <w:t xml:space="preserve">c) Entregar bienes o prestar servicios que no cumplan los requisitos de especificidad establecidos en la oferta.  </w:t>
      </w:r>
    </w:p>
    <w:p w:rsidR="003E2868" w:rsidRDefault="003E2868" w:rsidP="003E2868">
      <w:pPr>
        <w:pStyle w:val="NormalWeb"/>
        <w:spacing w:before="0" w:beforeAutospacing="0" w:after="0"/>
        <w:ind w:left="-284" w:firstLine="284"/>
        <w:jc w:val="both"/>
      </w:pPr>
      <w:r>
        <w:t xml:space="preserve">2) Causales de Inhabilitación Temporaria o Permanente: </w:t>
      </w:r>
    </w:p>
    <w:p w:rsidR="003E2868" w:rsidRDefault="003E2868" w:rsidP="003E2868">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3E2868" w:rsidRDefault="003E2868" w:rsidP="003E2868">
      <w:pPr>
        <w:pStyle w:val="NormalWeb"/>
        <w:spacing w:before="0" w:beforeAutospacing="0" w:after="0"/>
        <w:ind w:left="426"/>
        <w:jc w:val="both"/>
      </w:pPr>
      <w:r>
        <w:t xml:space="preserve">b) Se compruebe conductas graves que atenten contra el medio ambiente. </w:t>
      </w:r>
    </w:p>
    <w:p w:rsidR="003E2868" w:rsidRDefault="003E2868" w:rsidP="003E2868">
      <w:pPr>
        <w:pStyle w:val="NormalWeb"/>
        <w:spacing w:before="0" w:beforeAutospacing="0" w:after="0"/>
        <w:ind w:left="426"/>
        <w:jc w:val="both"/>
      </w:pPr>
      <w:r>
        <w:t xml:space="preserve">c) Se compruebe fehacientemente la presentación por el proveedor de información falsa o adulterada. </w:t>
      </w:r>
    </w:p>
    <w:p w:rsidR="003E2868" w:rsidRDefault="003E2868" w:rsidP="003E2868">
      <w:pPr>
        <w:pStyle w:val="NormalWeb"/>
        <w:spacing w:before="0" w:beforeAutospacing="0" w:after="0"/>
        <w:ind w:left="426"/>
        <w:jc w:val="both"/>
      </w:pPr>
      <w:r>
        <w:t xml:space="preserve">d) Declaración de la quiebra hasta la rehabilitación. </w:t>
      </w:r>
    </w:p>
    <w:p w:rsidR="003E2868" w:rsidRDefault="003E2868" w:rsidP="003E2868">
      <w:pPr>
        <w:pStyle w:val="NormalWeb"/>
        <w:spacing w:before="0" w:beforeAutospacing="0" w:after="0"/>
        <w:ind w:left="426"/>
        <w:jc w:val="both"/>
      </w:pPr>
      <w:r>
        <w:t xml:space="preserve">e) En caso de incurrir en tres (3) suspensiones por un período de dos (2) años, el plazo de suspensión será de 2 años. </w:t>
      </w:r>
    </w:p>
    <w:p w:rsidR="003E2868" w:rsidRDefault="003E2868" w:rsidP="003E2868">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3E2868" w:rsidRDefault="003E2868" w:rsidP="003E2868">
      <w:pPr>
        <w:pStyle w:val="NormalWeb"/>
        <w:spacing w:before="0" w:beforeAutospacing="0" w:after="0"/>
        <w:jc w:val="both"/>
        <w:rPr>
          <w:bCs/>
          <w:lang w:val="es-ES_tradnl"/>
        </w:rPr>
      </w:pPr>
    </w:p>
    <w:p w:rsidR="003E2868" w:rsidRDefault="003E2868" w:rsidP="003E2868">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3E2868" w:rsidRPr="00AD1946" w:rsidRDefault="003E2868" w:rsidP="003E2868">
      <w:pPr>
        <w:pStyle w:val="NormalWeb"/>
        <w:spacing w:before="0" w:beforeAutospacing="0" w:after="0"/>
        <w:jc w:val="both"/>
      </w:pPr>
      <w:r>
        <w:t xml:space="preserve">El proveedor suspendido o inhabilitado, con posterioridad a la notificación de la sanción, no podrá ser considerado en ningún proceso de contratación de servicios o adquisición de bienes </w:t>
      </w:r>
      <w:r>
        <w:lastRenderedPageBreak/>
        <w:t xml:space="preserve">que efectúe el Ministerio de Salud Pública, en cualquiera de sus ámbitos y periferia, incluyendo hospitales </w:t>
      </w:r>
      <w:r w:rsidRPr="00AD1946">
        <w:t>descentralizados, y durante el plazo que dura la misma.</w:t>
      </w:r>
    </w:p>
    <w:p w:rsidR="003E2868" w:rsidRPr="00AD1946" w:rsidRDefault="003E2868" w:rsidP="003E2868">
      <w:pPr>
        <w:pStyle w:val="NormalWeb"/>
        <w:spacing w:before="0" w:beforeAutospacing="0" w:after="0"/>
        <w:jc w:val="both"/>
      </w:pPr>
      <w:r w:rsidRPr="00AD1946">
        <w:t>Según Modificatoria de Clausulas Generales Decreto 664-MSP-2019.</w:t>
      </w:r>
    </w:p>
    <w:p w:rsidR="003E2868" w:rsidRPr="00AD1946" w:rsidRDefault="003E2868" w:rsidP="003E2868">
      <w:pPr>
        <w:pStyle w:val="NormalWeb"/>
        <w:spacing w:before="0" w:beforeAutospacing="0" w:after="0"/>
        <w:jc w:val="both"/>
        <w:rPr>
          <w:rFonts w:ascii="Verdana" w:hAnsi="Verdana" w:cs="Arial"/>
          <w:sz w:val="20"/>
          <w:szCs w:val="20"/>
        </w:rPr>
      </w:pPr>
    </w:p>
    <w:p w:rsidR="003E2868" w:rsidRPr="00AD1946" w:rsidRDefault="003E2868" w:rsidP="003E2868">
      <w:pPr>
        <w:numPr>
          <w:ilvl w:val="0"/>
          <w:numId w:val="15"/>
        </w:numPr>
        <w:spacing w:after="100" w:afterAutospacing="1" w:line="240" w:lineRule="auto"/>
        <w:ind w:left="720" w:hanging="720"/>
        <w:jc w:val="both"/>
        <w:rPr>
          <w:b/>
          <w:bCs/>
          <w:lang w:val="es-ES_tradnl"/>
        </w:rPr>
      </w:pPr>
      <w:r w:rsidRPr="00AD1946">
        <w:rPr>
          <w:b/>
          <w:bCs/>
          <w:lang w:val="es-ES_tradnl"/>
        </w:rPr>
        <w:t xml:space="preserve">Plazo y forma de entrega: </w:t>
      </w:r>
    </w:p>
    <w:p w:rsidR="003E2868" w:rsidRPr="00AD1946" w:rsidRDefault="003E2868" w:rsidP="003E2868">
      <w:pPr>
        <w:pStyle w:val="Prrafodelista"/>
        <w:widowControl w:val="0"/>
        <w:numPr>
          <w:ilvl w:val="0"/>
          <w:numId w:val="16"/>
        </w:numPr>
        <w:spacing w:after="100" w:afterAutospacing="1"/>
        <w:jc w:val="both"/>
        <w:rPr>
          <w:rFonts w:ascii="Times New Roman" w:hAnsi="Times New Roman" w:cs="Times New Roman"/>
          <w:b/>
          <w:bCs/>
          <w:sz w:val="24"/>
          <w:szCs w:val="24"/>
          <w:lang w:val="es-ES_tradnl"/>
        </w:rPr>
      </w:pPr>
      <w:r w:rsidRPr="00AD1946">
        <w:rPr>
          <w:rFonts w:ascii="Times New Roman" w:hAnsi="Times New Roman" w:cs="Times New Roman"/>
          <w:b/>
          <w:bCs/>
          <w:sz w:val="24"/>
          <w:szCs w:val="24"/>
          <w:lang w:val="es-ES_tradnl"/>
        </w:rPr>
        <w:t>Para Reactivos</w:t>
      </w:r>
    </w:p>
    <w:p w:rsidR="003E2868" w:rsidRPr="00AD1946" w:rsidRDefault="003E2868" w:rsidP="003E2868">
      <w:pPr>
        <w:pStyle w:val="NormalWeb"/>
        <w:spacing w:before="0" w:beforeAutospacing="0" w:after="0"/>
        <w:jc w:val="both"/>
        <w:rPr>
          <w:rFonts w:eastAsiaTheme="minorHAnsi"/>
          <w:bCs/>
          <w:lang w:val="es-ES_tradnl" w:eastAsia="en-US"/>
        </w:rPr>
      </w:pPr>
      <w:r w:rsidRPr="00AD1946">
        <w:rPr>
          <w:rFonts w:eastAsiaTheme="minorHAnsi"/>
          <w:bCs/>
          <w:lang w:val="es-ES_tradnl" w:eastAsia="en-US"/>
        </w:rPr>
        <w:t xml:space="preserve">La entrega de reactivos deberá hacerse mediante entregas total, las mismas deberán realizarse dentro de los 15 (quince) días hábiles a partir de la fecha de notificación de la Orden de Entrega definitiva.  </w:t>
      </w:r>
    </w:p>
    <w:p w:rsidR="003E2868" w:rsidRPr="00AD1946" w:rsidRDefault="003E2868" w:rsidP="003E2868">
      <w:pPr>
        <w:pStyle w:val="NormalWeb"/>
        <w:spacing w:before="0" w:beforeAutospacing="0" w:after="0"/>
        <w:jc w:val="both"/>
        <w:rPr>
          <w:rFonts w:eastAsiaTheme="minorHAnsi"/>
          <w:b/>
          <w:bCs/>
          <w:u w:val="single"/>
          <w:lang w:val="es-ES_tradnl" w:eastAsia="en-US"/>
        </w:rPr>
      </w:pPr>
      <w:r w:rsidRPr="00AD1946">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 lo cual será evaluado por la Comisión de Adjudicación.</w:t>
      </w:r>
      <w:r w:rsidRPr="00AD1946">
        <w:rPr>
          <w:b/>
          <w:bCs/>
          <w:u w:val="single"/>
          <w:lang w:val="es-ES_tradnl"/>
        </w:rPr>
        <w:t xml:space="preserve"> </w:t>
      </w:r>
    </w:p>
    <w:p w:rsidR="003E2868" w:rsidRPr="00AD1946" w:rsidRDefault="003E2868" w:rsidP="003E2868">
      <w:pPr>
        <w:pStyle w:val="NormalWeb"/>
        <w:spacing w:before="0" w:beforeAutospacing="0" w:after="0"/>
        <w:jc w:val="both"/>
        <w:rPr>
          <w:rFonts w:eastAsiaTheme="minorHAnsi"/>
          <w:bCs/>
          <w:lang w:val="es-ES_tradnl" w:eastAsia="en-US"/>
        </w:rPr>
      </w:pPr>
      <w:r w:rsidRPr="00AD1946">
        <w:rPr>
          <w:rFonts w:eastAsiaTheme="minorHAnsi"/>
          <w:bCs/>
          <w:lang w:val="es-ES_tradnl" w:eastAsia="en-US"/>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3E2868" w:rsidRPr="00AD1946" w:rsidRDefault="003E2868" w:rsidP="003E2868">
      <w:pPr>
        <w:pStyle w:val="NormalWeb"/>
        <w:spacing w:before="0" w:beforeAutospacing="0" w:after="0"/>
        <w:jc w:val="both"/>
        <w:rPr>
          <w:rFonts w:eastAsiaTheme="minorHAnsi"/>
          <w:b/>
          <w:bCs/>
          <w:u w:val="single"/>
          <w:lang w:val="es-ES_tradnl" w:eastAsia="en-US"/>
        </w:rPr>
      </w:pPr>
      <w:r w:rsidRPr="00AD1946">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AD1946">
        <w:rPr>
          <w:rFonts w:eastAsiaTheme="minorHAnsi"/>
          <w:b/>
          <w:bCs/>
          <w:u w:val="single"/>
          <w:lang w:val="es-ES_tradnl" w:eastAsia="en-US"/>
        </w:rPr>
        <w:t>ó</w:t>
      </w:r>
      <w:proofErr w:type="spellEnd"/>
      <w:r w:rsidRPr="00AD1946">
        <w:rPr>
          <w:rFonts w:eastAsiaTheme="minorHAnsi"/>
          <w:b/>
          <w:bCs/>
          <w:u w:val="single"/>
          <w:lang w:val="es-ES_tradnl" w:eastAsia="en-US"/>
        </w:rPr>
        <w:t xml:space="preserve"> los renglones entregados con mora, todo esto en la instancia al pago de la facturación presentada.-</w:t>
      </w:r>
    </w:p>
    <w:p w:rsidR="003E2868" w:rsidRPr="001E7EBE" w:rsidRDefault="003E2868" w:rsidP="003E2868">
      <w:pPr>
        <w:pStyle w:val="NormalWeb"/>
        <w:tabs>
          <w:tab w:val="left" w:pos="567"/>
        </w:tabs>
        <w:spacing w:before="0" w:beforeAutospacing="0" w:after="0"/>
        <w:jc w:val="both"/>
        <w:rPr>
          <w:rFonts w:eastAsiaTheme="minorHAnsi"/>
          <w:b/>
          <w:bCs/>
          <w:color w:val="FF0000"/>
          <w:lang w:val="es-ES_tradnl" w:eastAsia="en-US"/>
        </w:rPr>
      </w:pPr>
    </w:p>
    <w:p w:rsidR="003E2868" w:rsidRDefault="003E2868" w:rsidP="003E2868">
      <w:pPr>
        <w:contextualSpacing/>
        <w:jc w:val="center"/>
        <w:rPr>
          <w:bCs/>
          <w:color w:val="FF0000"/>
          <w:lang w:val="es-ES_tradnl"/>
        </w:rPr>
      </w:pPr>
    </w:p>
    <w:p w:rsidR="003E2868" w:rsidRPr="0085205E" w:rsidRDefault="003E2868" w:rsidP="003E2868">
      <w:pPr>
        <w:contextualSpacing/>
        <w:jc w:val="center"/>
        <w:rPr>
          <w:lang w:val="es-ES_tradnl"/>
        </w:rPr>
      </w:pPr>
      <w:r>
        <w:rPr>
          <w:lang w:val="es-ES_tradnl"/>
        </w:rPr>
        <w:t xml:space="preserve"> “SE SOLICITA INCLUIR EN LA OFERTA ECONOMICA, NUMERO DE CONTACTO Y CORREO ELECTRONICO ACTUALIZADO.”</w:t>
      </w:r>
    </w:p>
    <w:p w:rsidR="003E2868" w:rsidRPr="00284C7A" w:rsidRDefault="003E2868" w:rsidP="003E2868">
      <w:pPr>
        <w:jc w:val="center"/>
        <w:rPr>
          <w:rFonts w:ascii="Arial" w:hAnsi="Arial" w:cs="Arial"/>
          <w:sz w:val="18"/>
        </w:rPr>
      </w:pPr>
    </w:p>
    <w:p w:rsidR="00CB1117" w:rsidRPr="00764CFB" w:rsidRDefault="000E7168"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68" w:rsidRDefault="000E7168" w:rsidP="00044DD7">
      <w:pPr>
        <w:spacing w:after="0" w:line="240" w:lineRule="auto"/>
      </w:pPr>
      <w:r>
        <w:separator/>
      </w:r>
    </w:p>
  </w:endnote>
  <w:endnote w:type="continuationSeparator" w:id="0">
    <w:p w:rsidR="000E7168" w:rsidRDefault="000E7168"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3E2868">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68" w:rsidRDefault="000E7168" w:rsidP="00044DD7">
      <w:pPr>
        <w:spacing w:after="0" w:line="240" w:lineRule="auto"/>
      </w:pPr>
      <w:r>
        <w:separator/>
      </w:r>
    </w:p>
  </w:footnote>
  <w:footnote w:type="continuationSeparator" w:id="0">
    <w:p w:rsidR="000E7168" w:rsidRDefault="000E7168"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20">
    <w:nsid w:val="6DAC36B6"/>
    <w:multiLevelType w:val="hybridMultilevel"/>
    <w:tmpl w:val="6DD634B0"/>
    <w:lvl w:ilvl="0" w:tplc="27C627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23">
    <w:nsid w:val="79F34192"/>
    <w:multiLevelType w:val="hybridMultilevel"/>
    <w:tmpl w:val="1BFE629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B5664D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21"/>
  </w:num>
  <w:num w:numId="15">
    <w:abstractNumId w:val="13"/>
  </w:num>
  <w:num w:numId="16">
    <w:abstractNumId w:val="11"/>
  </w:num>
  <w:num w:numId="17">
    <w:abstractNumId w:val="0"/>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 w:numId="32">
    <w:abstractNumId w:val="20"/>
  </w:num>
  <w:num w:numId="33">
    <w:abstractNumId w:val="24"/>
  </w:num>
  <w:num w:numId="34">
    <w:abstractNumId w:val="22"/>
  </w:num>
  <w:num w:numId="35">
    <w:abstractNumId w:val="18"/>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E7168"/>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333"/>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E2868"/>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3E78"/>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29B0"/>
    <w:rsid w:val="0052560D"/>
    <w:rsid w:val="0053058E"/>
    <w:rsid w:val="005447DF"/>
    <w:rsid w:val="00546C15"/>
    <w:rsid w:val="00547482"/>
    <w:rsid w:val="00551410"/>
    <w:rsid w:val="00551578"/>
    <w:rsid w:val="00551E48"/>
    <w:rsid w:val="00552D6A"/>
    <w:rsid w:val="00586328"/>
    <w:rsid w:val="005903B0"/>
    <w:rsid w:val="00591027"/>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A6685"/>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66CAC"/>
    <w:rsid w:val="00770688"/>
    <w:rsid w:val="00771E45"/>
    <w:rsid w:val="00774957"/>
    <w:rsid w:val="00783B0C"/>
    <w:rsid w:val="00785454"/>
    <w:rsid w:val="007A047A"/>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D1D9A"/>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0139"/>
    <w:rsid w:val="00D35E75"/>
    <w:rsid w:val="00D46D78"/>
    <w:rsid w:val="00D51A78"/>
    <w:rsid w:val="00D54FD8"/>
    <w:rsid w:val="00D64B4F"/>
    <w:rsid w:val="00D70F8C"/>
    <w:rsid w:val="00D71F18"/>
    <w:rsid w:val="00D8019C"/>
    <w:rsid w:val="00D808D3"/>
    <w:rsid w:val="00D8257F"/>
    <w:rsid w:val="00D82DDE"/>
    <w:rsid w:val="00D8343D"/>
    <w:rsid w:val="00D9071C"/>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41C4-9604-48FD-989D-CD02B4A1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3673</Words>
  <Characters>20204</Characters>
  <Application>Microsoft Office Word</Application>
  <DocSecurity>0</DocSecurity>
  <Lines>168</Lines>
  <Paragraphs>47</Paragraphs>
  <ScaleCrop>false</ScaleCrop>
  <Company>Microsoft</Company>
  <LinksUpToDate>false</LinksUpToDate>
  <CharactersWithSpaces>23830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262</cp:revision>
  <dcterms:created xsi:type="dcterms:W3CDTF">2019-01-14T11:30:00Z</dcterms:created>
  <dcterms:modified xsi:type="dcterms:W3CDTF">2020-10-02T12:39:00Z</dcterms:modified>
</cp:coreProperties>
</file>