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303333" w:rsidP="00CA196D">
      <w:pPr>
        <w:jc w:val="both"/>
        <w:rPr>
          <w:sz w:val="28"/>
          <w:szCs w:val="28"/>
          <w:lang w:val="es-MX"/>
        </w:rPr>
      </w:pPr>
      <w:r>
        <w:rPr>
          <w:sz w:val="28"/>
          <w:szCs w:val="28"/>
          <w:lang w:val="es-MX"/>
        </w:rPr>
        <w:pict>
          <v:rect id="_x0000_i1025" style="width:0;height:1.5pt" o:hralign="center" o:hrstd="t" o:hr="t" fillcolor="#a0a0a0" stroked="f"/>
        </w:pict>
      </w:r>
    </w:p>
    <w:p w:rsidR="007A047A" w:rsidRPr="00CA5A69" w:rsidRDefault="007A047A" w:rsidP="007A047A">
      <w:pPr>
        <w:jc w:val="center"/>
        <w:rPr>
          <w:rFonts w:ascii="Verdana" w:hAnsi="Verdana" w:cs="Arial"/>
          <w:b/>
          <w:sz w:val="28"/>
          <w:szCs w:val="28"/>
          <w:u w:val="single"/>
        </w:rPr>
      </w:pPr>
      <w:r>
        <w:rPr>
          <w:rFonts w:ascii="Verdana" w:hAnsi="Verdana" w:cs="Arial"/>
          <w:b/>
          <w:sz w:val="28"/>
          <w:szCs w:val="28"/>
          <w:u w:val="single"/>
        </w:rPr>
        <w:t>LICITACION PUBLICA</w:t>
      </w:r>
      <w:r w:rsidRPr="00F54314">
        <w:rPr>
          <w:rFonts w:ascii="Verdana" w:hAnsi="Verdana" w:cs="Arial"/>
          <w:b/>
          <w:sz w:val="28"/>
          <w:szCs w:val="28"/>
          <w:u w:val="single"/>
        </w:rPr>
        <w:t xml:space="preserve"> N° </w:t>
      </w:r>
      <w:r w:rsidRPr="00CA5A69">
        <w:rPr>
          <w:rFonts w:ascii="Verdana" w:hAnsi="Verdana" w:cs="Arial"/>
          <w:b/>
          <w:sz w:val="28"/>
          <w:szCs w:val="28"/>
          <w:u w:val="single"/>
        </w:rPr>
        <w:t>06/20</w:t>
      </w:r>
    </w:p>
    <w:p w:rsidR="007A047A" w:rsidRPr="007A047A" w:rsidRDefault="007A047A" w:rsidP="007A047A">
      <w:pPr>
        <w:tabs>
          <w:tab w:val="left" w:pos="5610"/>
        </w:tabs>
        <w:jc w:val="center"/>
        <w:rPr>
          <w:rFonts w:ascii="Verdana" w:hAnsi="Verdana" w:cs="Arial"/>
          <w:b/>
          <w:szCs w:val="32"/>
        </w:rPr>
      </w:pPr>
      <w:r w:rsidRPr="00CA5A69">
        <w:rPr>
          <w:rFonts w:ascii="Verdana" w:hAnsi="Verdana" w:cs="Arial"/>
          <w:sz w:val="24"/>
          <w:szCs w:val="32"/>
        </w:rPr>
        <w:t xml:space="preserve">Expediente Nº 800-003650-20/ </w:t>
      </w:r>
      <w:proofErr w:type="spellStart"/>
      <w:r w:rsidRPr="00CA5A69">
        <w:rPr>
          <w:rFonts w:ascii="Verdana" w:hAnsi="Verdana" w:cs="Arial"/>
          <w:b/>
          <w:i/>
          <w:szCs w:val="32"/>
        </w:rPr>
        <w:t>Rs</w:t>
      </w:r>
      <w:proofErr w:type="spellEnd"/>
      <w:r w:rsidRPr="00CA5A69">
        <w:rPr>
          <w:rFonts w:ascii="Verdana" w:hAnsi="Verdana" w:cs="Arial"/>
          <w:b/>
          <w:i/>
          <w:szCs w:val="32"/>
        </w:rPr>
        <w:t>. 3521-MSP</w:t>
      </w:r>
      <w:r w:rsidRPr="00CA5A69">
        <w:rPr>
          <w:rFonts w:ascii="Verdana" w:hAnsi="Verdana" w:cs="Arial"/>
          <w:szCs w:val="32"/>
        </w:rPr>
        <w:t>-</w:t>
      </w:r>
      <w:r w:rsidRPr="00CA5A69">
        <w:rPr>
          <w:rFonts w:ascii="Verdana" w:hAnsi="Verdana" w:cs="Arial"/>
          <w:b/>
          <w:szCs w:val="32"/>
        </w:rPr>
        <w:t xml:space="preserve">20  </w:t>
      </w:r>
      <w:bookmarkStart w:id="0" w:name="_GoBack"/>
      <w:bookmarkEnd w:id="0"/>
    </w:p>
    <w:p w:rsidR="007A047A" w:rsidRPr="00691615" w:rsidRDefault="007A047A" w:rsidP="007A047A">
      <w:pPr>
        <w:pStyle w:val="Sangranormal"/>
        <w:tabs>
          <w:tab w:val="left" w:pos="1200"/>
          <w:tab w:val="left" w:pos="1680"/>
        </w:tabs>
        <w:spacing w:line="276" w:lineRule="auto"/>
        <w:ind w:left="0"/>
        <w:jc w:val="both"/>
        <w:rPr>
          <w:rFonts w:ascii="Verdana" w:hAnsi="Verdana" w:cs="Arial"/>
          <w:color w:val="FF0000"/>
          <w:sz w:val="22"/>
          <w:szCs w:val="20"/>
        </w:rPr>
      </w:pPr>
      <w:r>
        <w:rPr>
          <w:rFonts w:ascii="Verdana" w:hAnsi="Verdana" w:cs="Arial"/>
          <w:sz w:val="22"/>
          <w:szCs w:val="20"/>
        </w:rPr>
        <w:t xml:space="preserve">                </w:t>
      </w:r>
      <w:r w:rsidRPr="00CA5A69">
        <w:rPr>
          <w:rFonts w:ascii="Verdana" w:hAnsi="Verdana" w:cs="Arial"/>
          <w:sz w:val="22"/>
          <w:szCs w:val="20"/>
        </w:rPr>
        <w:t xml:space="preserve"> A realizarse la apertura el día </w:t>
      </w:r>
      <w:r w:rsidRPr="00CA5A69">
        <w:rPr>
          <w:rFonts w:ascii="Verdana" w:hAnsi="Verdana" w:cs="Arial"/>
          <w:b/>
          <w:sz w:val="22"/>
          <w:szCs w:val="20"/>
        </w:rPr>
        <w:t xml:space="preserve">Martes 13 (trece) de Octubre del 2.020 y  la recepción de sobres hasta las 09:00 horas </w:t>
      </w:r>
      <w:r w:rsidRPr="00F54314">
        <w:rPr>
          <w:rFonts w:ascii="Verdana" w:hAnsi="Verdana" w:cs="Arial"/>
          <w:b/>
          <w:sz w:val="22"/>
          <w:szCs w:val="20"/>
        </w:rPr>
        <w:t xml:space="preserve">en la oficina de </w:t>
      </w:r>
      <w:r>
        <w:rPr>
          <w:rFonts w:ascii="Verdana" w:hAnsi="Verdana" w:cs="Arial"/>
          <w:b/>
          <w:sz w:val="22"/>
          <w:szCs w:val="20"/>
        </w:rPr>
        <w:t>Departamento</w:t>
      </w:r>
      <w:r w:rsidRPr="00F54314">
        <w:rPr>
          <w:rFonts w:ascii="Verdana" w:hAnsi="Verdana" w:cs="Arial"/>
          <w:b/>
          <w:sz w:val="22"/>
          <w:szCs w:val="20"/>
        </w:rPr>
        <w:t xml:space="preserve"> Compras</w:t>
      </w:r>
      <w:r w:rsidRPr="00F54314">
        <w:rPr>
          <w:rFonts w:ascii="Verdana" w:hAnsi="Verdana" w:cs="Arial"/>
          <w:sz w:val="22"/>
          <w:szCs w:val="20"/>
        </w:rPr>
        <w:t xml:space="preserve">, </w:t>
      </w:r>
      <w:r>
        <w:rPr>
          <w:rFonts w:ascii="Verdana" w:hAnsi="Verdana" w:cs="Arial"/>
          <w:sz w:val="22"/>
          <w:szCs w:val="20"/>
        </w:rPr>
        <w:t>para la adquisición</w:t>
      </w:r>
      <w:r w:rsidRPr="00CA5A69">
        <w:rPr>
          <w:rFonts w:ascii="Verdana" w:hAnsi="Verdana" w:cs="Arial"/>
          <w:sz w:val="22"/>
          <w:szCs w:val="20"/>
        </w:rPr>
        <w:t xml:space="preserve"> de notebook para la implementación de </w:t>
      </w:r>
      <w:proofErr w:type="spellStart"/>
      <w:r w:rsidRPr="00CA5A69">
        <w:rPr>
          <w:rFonts w:ascii="Verdana" w:hAnsi="Verdana" w:cs="Arial"/>
          <w:sz w:val="22"/>
          <w:szCs w:val="20"/>
        </w:rPr>
        <w:t>teleconsulta</w:t>
      </w:r>
      <w:proofErr w:type="spellEnd"/>
      <w:r w:rsidRPr="00CA5A69">
        <w:rPr>
          <w:rFonts w:ascii="Verdana" w:hAnsi="Verdana" w:cs="Arial"/>
          <w:sz w:val="22"/>
          <w:szCs w:val="20"/>
        </w:rPr>
        <w:t xml:space="preserve"> COVID-19, destinado al Programa REDES, dependiente del Ministerio de Salud Pública</w:t>
      </w:r>
      <w:r>
        <w:rPr>
          <w:rFonts w:ascii="Verdana" w:hAnsi="Verdana" w:cs="Arial"/>
          <w:sz w:val="22"/>
          <w:szCs w:val="20"/>
        </w:rPr>
        <w:t>.</w:t>
      </w:r>
    </w:p>
    <w:p w:rsidR="007A047A" w:rsidRPr="00F71180" w:rsidRDefault="007A047A" w:rsidP="007A047A">
      <w:pPr>
        <w:pStyle w:val="Sangranormal"/>
        <w:tabs>
          <w:tab w:val="left" w:pos="1200"/>
          <w:tab w:val="left" w:pos="1680"/>
        </w:tabs>
        <w:spacing w:line="276" w:lineRule="auto"/>
        <w:ind w:left="0"/>
        <w:jc w:val="both"/>
        <w:rPr>
          <w:rFonts w:ascii="Verdana" w:hAnsi="Verdana" w:cs="Arial"/>
          <w:sz w:val="22"/>
          <w:szCs w:val="20"/>
        </w:rPr>
      </w:pPr>
    </w:p>
    <w:p w:rsidR="007A047A" w:rsidRDefault="007A047A" w:rsidP="007A047A">
      <w:pPr>
        <w:pStyle w:val="Sangranormal"/>
        <w:tabs>
          <w:tab w:val="left" w:pos="1200"/>
          <w:tab w:val="left" w:pos="1680"/>
        </w:tabs>
        <w:spacing w:line="276" w:lineRule="auto"/>
        <w:ind w:left="0"/>
        <w:jc w:val="both"/>
        <w:rPr>
          <w:rFonts w:ascii="Verdana" w:hAnsi="Verdana" w:cs="Arial"/>
          <w:sz w:val="22"/>
          <w:szCs w:val="20"/>
        </w:rPr>
      </w:pPr>
      <w:r w:rsidRPr="00F54314">
        <w:rPr>
          <w:rFonts w:ascii="Verdana" w:hAnsi="Verdana" w:cs="Arial"/>
          <w:sz w:val="22"/>
          <w:szCs w:val="20"/>
        </w:rPr>
        <w:tab/>
        <w:t>Si el día fijado para la apertura, resultare no laborable, se efectuará el primer día há</w:t>
      </w:r>
      <w:r>
        <w:rPr>
          <w:rFonts w:ascii="Verdana" w:hAnsi="Verdana" w:cs="Arial"/>
          <w:sz w:val="22"/>
          <w:szCs w:val="20"/>
        </w:rPr>
        <w:t>bil siguiente, a la misma hora.</w:t>
      </w:r>
    </w:p>
    <w:p w:rsidR="007A047A" w:rsidRPr="00F54314" w:rsidRDefault="007A047A" w:rsidP="007A047A">
      <w:pPr>
        <w:pStyle w:val="Sangranormal"/>
        <w:tabs>
          <w:tab w:val="left" w:pos="1200"/>
          <w:tab w:val="left" w:pos="1680"/>
        </w:tabs>
        <w:spacing w:line="276" w:lineRule="auto"/>
        <w:ind w:left="0"/>
        <w:jc w:val="both"/>
        <w:rPr>
          <w:rFonts w:ascii="Verdana" w:hAnsi="Verdana" w:cs="Arial"/>
          <w:sz w:val="22"/>
          <w:szCs w:val="20"/>
        </w:rPr>
      </w:pPr>
    </w:p>
    <w:p w:rsidR="007A047A" w:rsidRDefault="007A047A" w:rsidP="007A047A">
      <w:pPr>
        <w:pStyle w:val="Sangranormal"/>
        <w:tabs>
          <w:tab w:val="left" w:pos="1200"/>
          <w:tab w:val="left" w:pos="1680"/>
        </w:tabs>
        <w:spacing w:line="276" w:lineRule="auto"/>
        <w:ind w:left="0"/>
        <w:jc w:val="both"/>
        <w:rPr>
          <w:rFonts w:ascii="Verdana" w:hAnsi="Verdana" w:cs="Arial"/>
          <w:b/>
          <w:sz w:val="22"/>
          <w:szCs w:val="20"/>
        </w:rPr>
      </w:pPr>
      <w:r>
        <w:rPr>
          <w:rFonts w:ascii="Verdana" w:hAnsi="Verdana" w:cs="Arial"/>
          <w:sz w:val="22"/>
          <w:szCs w:val="20"/>
        </w:rPr>
        <w:tab/>
      </w:r>
      <w:r w:rsidRPr="00F54314">
        <w:rPr>
          <w:rFonts w:ascii="Verdana" w:hAnsi="Verdana" w:cs="Arial"/>
          <w:sz w:val="22"/>
          <w:szCs w:val="20"/>
        </w:rPr>
        <w:t xml:space="preserve">Apertura de ofertas en la Sala </w:t>
      </w:r>
      <w:r>
        <w:rPr>
          <w:rFonts w:ascii="Verdana" w:hAnsi="Verdana" w:cs="Arial"/>
          <w:sz w:val="22"/>
          <w:szCs w:val="20"/>
        </w:rPr>
        <w:t>de Licitaciones</w:t>
      </w:r>
      <w:r w:rsidRPr="00F54314">
        <w:rPr>
          <w:rFonts w:ascii="Verdana" w:hAnsi="Verdana" w:cs="Arial"/>
          <w:sz w:val="22"/>
          <w:szCs w:val="20"/>
        </w:rPr>
        <w:t xml:space="preserve"> </w:t>
      </w:r>
      <w:r>
        <w:rPr>
          <w:rFonts w:ascii="Verdana" w:hAnsi="Verdana" w:cs="Arial"/>
          <w:sz w:val="22"/>
          <w:szCs w:val="20"/>
        </w:rPr>
        <w:t>2do</w:t>
      </w:r>
      <w:r w:rsidRPr="00F54314">
        <w:rPr>
          <w:rFonts w:ascii="Verdana" w:hAnsi="Verdana" w:cs="Arial"/>
          <w:sz w:val="22"/>
          <w:szCs w:val="20"/>
        </w:rPr>
        <w:t xml:space="preserve"> Piso </w:t>
      </w:r>
      <w:r w:rsidRPr="00F71180">
        <w:rPr>
          <w:rFonts w:ascii="Verdana" w:hAnsi="Verdana" w:cs="Arial"/>
          <w:sz w:val="22"/>
          <w:szCs w:val="20"/>
        </w:rPr>
        <w:t>Av.</w:t>
      </w:r>
      <w:r w:rsidRPr="00F54314">
        <w:rPr>
          <w:rFonts w:ascii="Verdana" w:hAnsi="Verdana" w:cs="Arial"/>
          <w:bCs/>
          <w:sz w:val="22"/>
          <w:szCs w:val="20"/>
        </w:rPr>
        <w:t xml:space="preserve"> Libertador 750-Oeste-</w:t>
      </w:r>
      <w:r w:rsidRPr="00F54314">
        <w:rPr>
          <w:rFonts w:ascii="Verdana" w:hAnsi="Verdana" w:cs="Arial"/>
          <w:sz w:val="22"/>
          <w:szCs w:val="20"/>
        </w:rPr>
        <w:t xml:space="preserve"> Ciudad de San Juan- </w:t>
      </w:r>
      <w:r w:rsidRPr="00F54314">
        <w:rPr>
          <w:rFonts w:ascii="Verdana" w:hAnsi="Verdana" w:cs="Arial"/>
          <w:b/>
          <w:sz w:val="22"/>
          <w:szCs w:val="20"/>
        </w:rPr>
        <w:t>CENTRO CÍVICO</w:t>
      </w:r>
    </w:p>
    <w:p w:rsidR="007A047A" w:rsidRDefault="007A047A" w:rsidP="007A047A">
      <w:pPr>
        <w:pStyle w:val="Sangranormal"/>
        <w:tabs>
          <w:tab w:val="left" w:pos="1200"/>
          <w:tab w:val="left" w:pos="1680"/>
        </w:tabs>
        <w:spacing w:line="276" w:lineRule="auto"/>
        <w:ind w:left="0"/>
        <w:jc w:val="both"/>
        <w:rPr>
          <w:rFonts w:ascii="Verdana" w:hAnsi="Verdana" w:cs="Arial"/>
          <w:b/>
          <w:sz w:val="22"/>
          <w:szCs w:val="20"/>
        </w:rPr>
      </w:pPr>
    </w:p>
    <w:tbl>
      <w:tblPr>
        <w:tblW w:w="9229" w:type="dxa"/>
        <w:tblInd w:w="55" w:type="dxa"/>
        <w:tblCellMar>
          <w:left w:w="70" w:type="dxa"/>
          <w:right w:w="70" w:type="dxa"/>
        </w:tblCellMar>
        <w:tblLook w:val="04A0" w:firstRow="1" w:lastRow="0" w:firstColumn="1" w:lastColumn="0" w:noHBand="0" w:noVBand="1"/>
      </w:tblPr>
      <w:tblGrid>
        <w:gridCol w:w="866"/>
        <w:gridCol w:w="7087"/>
        <w:gridCol w:w="1276"/>
      </w:tblGrid>
      <w:tr w:rsidR="007A047A" w:rsidRPr="00680A08" w:rsidTr="000F3BF6">
        <w:trPr>
          <w:trHeight w:val="264"/>
        </w:trPr>
        <w:tc>
          <w:tcPr>
            <w:tcW w:w="866" w:type="dxa"/>
            <w:tcBorders>
              <w:top w:val="nil"/>
              <w:left w:val="nil"/>
              <w:bottom w:val="single" w:sz="4" w:space="0" w:color="auto"/>
              <w:right w:val="nil"/>
            </w:tcBorders>
            <w:shd w:val="clear" w:color="auto" w:fill="auto"/>
            <w:vAlign w:val="center"/>
            <w:hideMark/>
          </w:tcPr>
          <w:p w:rsidR="007A047A" w:rsidRPr="00680A08" w:rsidRDefault="007A047A" w:rsidP="000F3BF6">
            <w:pPr>
              <w:contextualSpacing/>
              <w:rPr>
                <w:szCs w:val="24"/>
              </w:rPr>
            </w:pPr>
            <w:proofErr w:type="spellStart"/>
            <w:r w:rsidRPr="00680A08">
              <w:rPr>
                <w:szCs w:val="24"/>
              </w:rPr>
              <w:t>Reng</w:t>
            </w:r>
            <w:proofErr w:type="spellEnd"/>
            <w:r w:rsidRPr="00680A08">
              <w:rPr>
                <w:szCs w:val="24"/>
              </w:rPr>
              <w:t>.</w:t>
            </w:r>
          </w:p>
        </w:tc>
        <w:tc>
          <w:tcPr>
            <w:tcW w:w="7087" w:type="dxa"/>
            <w:tcBorders>
              <w:top w:val="nil"/>
              <w:left w:val="nil"/>
              <w:bottom w:val="single" w:sz="4" w:space="0" w:color="auto"/>
              <w:right w:val="nil"/>
            </w:tcBorders>
            <w:shd w:val="clear" w:color="auto" w:fill="auto"/>
            <w:vAlign w:val="center"/>
            <w:hideMark/>
          </w:tcPr>
          <w:p w:rsidR="007A047A" w:rsidRPr="00680A08" w:rsidRDefault="007A047A" w:rsidP="000F3BF6">
            <w:pPr>
              <w:contextualSpacing/>
              <w:rPr>
                <w:szCs w:val="24"/>
              </w:rPr>
            </w:pPr>
            <w:r w:rsidRPr="00680A08">
              <w:rPr>
                <w:szCs w:val="24"/>
              </w:rPr>
              <w:t xml:space="preserve">Detalle </w:t>
            </w:r>
          </w:p>
        </w:tc>
        <w:tc>
          <w:tcPr>
            <w:tcW w:w="1276" w:type="dxa"/>
            <w:tcBorders>
              <w:top w:val="nil"/>
              <w:left w:val="nil"/>
              <w:bottom w:val="single" w:sz="4" w:space="0" w:color="auto"/>
              <w:right w:val="nil"/>
            </w:tcBorders>
            <w:shd w:val="clear" w:color="auto" w:fill="auto"/>
            <w:vAlign w:val="center"/>
            <w:hideMark/>
          </w:tcPr>
          <w:p w:rsidR="007A047A" w:rsidRPr="00680A08" w:rsidRDefault="007A047A" w:rsidP="000F3BF6">
            <w:pPr>
              <w:contextualSpacing/>
              <w:rPr>
                <w:szCs w:val="24"/>
              </w:rPr>
            </w:pPr>
            <w:r w:rsidRPr="00680A08">
              <w:rPr>
                <w:szCs w:val="24"/>
              </w:rPr>
              <w:t>Cantidad</w:t>
            </w:r>
          </w:p>
        </w:tc>
      </w:tr>
      <w:tr w:rsidR="007A047A" w:rsidRPr="00680A08" w:rsidTr="000F3BF6">
        <w:trPr>
          <w:trHeight w:val="57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47A" w:rsidRPr="00680A08" w:rsidRDefault="007A047A" w:rsidP="000F3BF6">
            <w:pPr>
              <w:contextualSpacing/>
              <w:rPr>
                <w:b/>
                <w:bCs/>
                <w:szCs w:val="24"/>
                <w:lang w:val="es-ES_tradnl"/>
              </w:rPr>
            </w:pPr>
            <w:r w:rsidRPr="00680A08">
              <w:rPr>
                <w:b/>
                <w:bCs/>
                <w:szCs w:val="24"/>
                <w:lang w:val="es-ES_tradnl"/>
              </w:rPr>
              <w:t>1</w:t>
            </w:r>
          </w:p>
        </w:tc>
        <w:tc>
          <w:tcPr>
            <w:tcW w:w="7087" w:type="dxa"/>
            <w:tcBorders>
              <w:top w:val="single" w:sz="4" w:space="0" w:color="auto"/>
              <w:left w:val="nil"/>
              <w:bottom w:val="single" w:sz="4" w:space="0" w:color="auto"/>
              <w:right w:val="single" w:sz="4" w:space="0" w:color="auto"/>
            </w:tcBorders>
            <w:shd w:val="clear" w:color="000000" w:fill="FFFFFF"/>
            <w:vAlign w:val="center"/>
            <w:hideMark/>
          </w:tcPr>
          <w:p w:rsidR="007A047A" w:rsidRPr="00A34534" w:rsidRDefault="007A047A" w:rsidP="000F3BF6">
            <w:pPr>
              <w:rPr>
                <w:color w:val="000000" w:themeColor="text1"/>
                <w:szCs w:val="24"/>
                <w:lang w:val="es-ES_tradnl"/>
              </w:rPr>
            </w:pPr>
            <w:r w:rsidRPr="00A34534">
              <w:rPr>
                <w:color w:val="000000" w:themeColor="text1"/>
                <w:szCs w:val="24"/>
                <w:lang w:val="es-ES_tradnl"/>
              </w:rPr>
              <w:t>Características de Notebook:</w:t>
            </w:r>
          </w:p>
          <w:p w:rsidR="007A047A" w:rsidRPr="00A34534" w:rsidRDefault="007A047A" w:rsidP="007A047A">
            <w:pPr>
              <w:pStyle w:val="Prrafodelista"/>
              <w:numPr>
                <w:ilvl w:val="0"/>
                <w:numId w:val="36"/>
              </w:numPr>
              <w:spacing w:after="0" w:line="240" w:lineRule="auto"/>
              <w:jc w:val="both"/>
              <w:rPr>
                <w:rFonts w:cs="Times New Roman"/>
                <w:color w:val="000000" w:themeColor="text1"/>
                <w:szCs w:val="24"/>
                <w:lang w:val="es-ES_tradnl"/>
              </w:rPr>
            </w:pPr>
            <w:r w:rsidRPr="00A34534">
              <w:rPr>
                <w:rFonts w:cs="Times New Roman"/>
                <w:color w:val="000000" w:themeColor="text1"/>
                <w:szCs w:val="24"/>
                <w:lang w:val="es-ES_tradnl"/>
              </w:rPr>
              <w:t>Microprocesador tipo Intel Core i3 o superior calidad/rendimiento que no se encuentre discontinuada su fabricación.</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Memoria RAM de 4GB como mínimo (DDR4 o superior).</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Disco rígido SSD 240GB</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 xml:space="preserve">Pantalla/video calidad 1280x800 </w:t>
            </w:r>
            <w:proofErr w:type="spellStart"/>
            <w:r w:rsidRPr="00A34534">
              <w:rPr>
                <w:rFonts w:cs="Times New Roman"/>
                <w:color w:val="000000" w:themeColor="text1"/>
                <w:szCs w:val="24"/>
                <w:lang w:val="es-ES_tradnl"/>
              </w:rPr>
              <w:t>pixels</w:t>
            </w:r>
            <w:proofErr w:type="spellEnd"/>
            <w:r w:rsidRPr="00A34534">
              <w:rPr>
                <w:rFonts w:cs="Times New Roman"/>
                <w:color w:val="000000" w:themeColor="text1"/>
                <w:szCs w:val="24"/>
                <w:lang w:val="es-ES_tradnl"/>
              </w:rPr>
              <w:t xml:space="preserve">, tamaño no inferior a 13 pulgadas, </w:t>
            </w:r>
            <w:proofErr w:type="spellStart"/>
            <w:r w:rsidRPr="00A34534">
              <w:rPr>
                <w:rFonts w:cs="Times New Roman"/>
                <w:color w:val="000000" w:themeColor="text1"/>
                <w:szCs w:val="24"/>
                <w:lang w:val="es-ES_tradnl"/>
              </w:rPr>
              <w:t>wide</w:t>
            </w:r>
            <w:proofErr w:type="spellEnd"/>
            <w:r w:rsidRPr="00A34534">
              <w:rPr>
                <w:rFonts w:cs="Times New Roman"/>
                <w:color w:val="000000" w:themeColor="text1"/>
                <w:szCs w:val="24"/>
                <w:lang w:val="es-ES_tradnl"/>
              </w:rPr>
              <w:t xml:space="preserve"> </w:t>
            </w:r>
            <w:proofErr w:type="spellStart"/>
            <w:r w:rsidRPr="00A34534">
              <w:rPr>
                <w:rFonts w:cs="Times New Roman"/>
                <w:color w:val="000000" w:themeColor="text1"/>
                <w:szCs w:val="24"/>
                <w:lang w:val="es-ES_tradnl"/>
              </w:rPr>
              <w:t>screen</w:t>
            </w:r>
            <w:proofErr w:type="spellEnd"/>
            <w:r w:rsidRPr="00A34534">
              <w:rPr>
                <w:rFonts w:cs="Times New Roman"/>
                <w:color w:val="000000" w:themeColor="text1"/>
                <w:szCs w:val="24"/>
                <w:lang w:val="es-ES_tradnl"/>
              </w:rPr>
              <w:t xml:space="preserve"> (16:9 o 16:10). Debe poseer conector externo tipo D-SUB15 con salida de video SVGA activa simultánea con la pantalla incorporada. Opcional puerto HDMI.</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Audio incorporado internamente, con disponibilidad para conectar micrófono y auriculares externos.</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 xml:space="preserve">Placa de red LAN 100/1000Mbits o superior, interna. Placa </w:t>
            </w:r>
            <w:proofErr w:type="spellStart"/>
            <w:r w:rsidRPr="00A34534">
              <w:rPr>
                <w:rFonts w:cs="Times New Roman"/>
                <w:color w:val="000000" w:themeColor="text1"/>
                <w:szCs w:val="24"/>
                <w:lang w:val="es-ES_tradnl"/>
              </w:rPr>
              <w:t>WiFi</w:t>
            </w:r>
            <w:proofErr w:type="spellEnd"/>
            <w:r w:rsidRPr="00A34534">
              <w:rPr>
                <w:rFonts w:cs="Times New Roman"/>
                <w:color w:val="000000" w:themeColor="text1"/>
                <w:szCs w:val="24"/>
                <w:lang w:val="es-ES_tradnl"/>
              </w:rPr>
              <w:t xml:space="preserve"> 802.11n, 150Mbits o superior, incorporada de forma interna. Bluetooth opcional.</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Debe poseer al menos dos (2) puertos USB externos 3.0.</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 xml:space="preserve">Debe poseer </w:t>
            </w:r>
            <w:proofErr w:type="spellStart"/>
            <w:r w:rsidRPr="00A34534">
              <w:rPr>
                <w:rFonts w:cs="Times New Roman"/>
                <w:color w:val="000000" w:themeColor="text1"/>
                <w:szCs w:val="24"/>
                <w:lang w:val="es-ES_tradnl"/>
              </w:rPr>
              <w:t>Lectograbadora</w:t>
            </w:r>
            <w:proofErr w:type="spellEnd"/>
            <w:r w:rsidRPr="00A34534">
              <w:rPr>
                <w:rFonts w:cs="Times New Roman"/>
                <w:color w:val="000000" w:themeColor="text1"/>
                <w:szCs w:val="24"/>
                <w:lang w:val="es-ES_tradnl"/>
              </w:rPr>
              <w:t xml:space="preserve"> de DVD. Se acepta </w:t>
            </w:r>
            <w:proofErr w:type="spellStart"/>
            <w:r w:rsidRPr="00A34534">
              <w:rPr>
                <w:rFonts w:cs="Times New Roman"/>
                <w:color w:val="000000" w:themeColor="text1"/>
                <w:szCs w:val="24"/>
                <w:lang w:val="es-ES_tradnl"/>
              </w:rPr>
              <w:t>Lectograbadora</w:t>
            </w:r>
            <w:proofErr w:type="spellEnd"/>
            <w:r w:rsidRPr="00A34534">
              <w:rPr>
                <w:rFonts w:cs="Times New Roman"/>
                <w:color w:val="000000" w:themeColor="text1"/>
                <w:szCs w:val="24"/>
                <w:lang w:val="es-ES_tradnl"/>
              </w:rPr>
              <w:t xml:space="preserve"> externa USB.</w:t>
            </w:r>
          </w:p>
          <w:p w:rsidR="007A047A" w:rsidRPr="00A34534" w:rsidRDefault="007A047A" w:rsidP="007A047A">
            <w:pPr>
              <w:pStyle w:val="Prrafodelista"/>
              <w:widowControl w:val="0"/>
              <w:numPr>
                <w:ilvl w:val="0"/>
                <w:numId w:val="36"/>
              </w:numPr>
              <w:suppressAutoHyphens/>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Sistema operativo Windows Professional (última versión) de 64 bits, en español, con licencia original y FISICA, preactivado de fábrica a nombre del Ministerio de Salud Pública – San Juan.</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 xml:space="preserve">Deberá incluir software de recuperación de drivers y sistema operativo, en forma de </w:t>
            </w:r>
            <w:proofErr w:type="spellStart"/>
            <w:r w:rsidRPr="00A34534">
              <w:rPr>
                <w:rFonts w:cs="Times New Roman"/>
                <w:color w:val="000000" w:themeColor="text1"/>
                <w:szCs w:val="24"/>
                <w:lang w:val="es-ES_tradnl"/>
              </w:rPr>
              <w:t>CDs</w:t>
            </w:r>
            <w:proofErr w:type="spellEnd"/>
            <w:r w:rsidRPr="00A34534">
              <w:rPr>
                <w:rFonts w:cs="Times New Roman"/>
                <w:color w:val="000000" w:themeColor="text1"/>
                <w:szCs w:val="24"/>
                <w:lang w:val="es-ES_tradnl"/>
              </w:rPr>
              <w:t>/</w:t>
            </w:r>
            <w:proofErr w:type="spellStart"/>
            <w:r w:rsidRPr="00A34534">
              <w:rPr>
                <w:rFonts w:cs="Times New Roman"/>
                <w:color w:val="000000" w:themeColor="text1"/>
                <w:szCs w:val="24"/>
                <w:lang w:val="es-ES_tradnl"/>
              </w:rPr>
              <w:t>DVDs</w:t>
            </w:r>
            <w:proofErr w:type="spellEnd"/>
            <w:r w:rsidRPr="00A34534">
              <w:rPr>
                <w:rFonts w:cs="Times New Roman"/>
                <w:color w:val="000000" w:themeColor="text1"/>
                <w:szCs w:val="24"/>
                <w:lang w:val="es-ES_tradnl"/>
              </w:rPr>
              <w:t>, más documentación acorde.</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Deberá incorporar cámara web</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Deberá incorporar un lector de tarjetas flash, compatible con MMC/SD/</w:t>
            </w:r>
            <w:proofErr w:type="spellStart"/>
            <w:r w:rsidRPr="00A34534">
              <w:rPr>
                <w:rFonts w:cs="Times New Roman"/>
                <w:color w:val="000000" w:themeColor="text1"/>
                <w:szCs w:val="24"/>
                <w:lang w:val="es-ES_tradnl"/>
              </w:rPr>
              <w:t>MiniSD</w:t>
            </w:r>
            <w:proofErr w:type="spellEnd"/>
            <w:r w:rsidRPr="00A34534">
              <w:rPr>
                <w:rFonts w:cs="Times New Roman"/>
                <w:color w:val="000000" w:themeColor="text1"/>
                <w:szCs w:val="24"/>
                <w:lang w:val="es-ES_tradnl"/>
              </w:rPr>
              <w:t>/</w:t>
            </w:r>
            <w:proofErr w:type="spellStart"/>
            <w:r w:rsidRPr="00A34534">
              <w:rPr>
                <w:rFonts w:cs="Times New Roman"/>
                <w:color w:val="000000" w:themeColor="text1"/>
                <w:szCs w:val="24"/>
                <w:lang w:val="es-ES_tradnl"/>
              </w:rPr>
              <w:t>MicroSD</w:t>
            </w:r>
            <w:proofErr w:type="spellEnd"/>
            <w:r w:rsidRPr="00A34534">
              <w:rPr>
                <w:rFonts w:cs="Times New Roman"/>
                <w:color w:val="000000" w:themeColor="text1"/>
                <w:szCs w:val="24"/>
                <w:lang w:val="es-ES_tradnl"/>
              </w:rPr>
              <w:t xml:space="preserve"> (las dos últimas con adaptador de ser necesario, mismo que deberá ser provisto).</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 xml:space="preserve">Deberá incluir una batería de níquel-cadmio, </w:t>
            </w:r>
            <w:proofErr w:type="spellStart"/>
            <w:r w:rsidRPr="00A34534">
              <w:rPr>
                <w:rFonts w:cs="Times New Roman"/>
                <w:color w:val="000000" w:themeColor="text1"/>
                <w:szCs w:val="24"/>
                <w:lang w:val="es-ES_tradnl"/>
              </w:rPr>
              <w:t>lítio</w:t>
            </w:r>
            <w:proofErr w:type="spellEnd"/>
            <w:r w:rsidRPr="00A34534">
              <w:rPr>
                <w:rFonts w:cs="Times New Roman"/>
                <w:color w:val="000000" w:themeColor="text1"/>
                <w:szCs w:val="24"/>
                <w:lang w:val="es-ES_tradnl"/>
              </w:rPr>
              <w:t>-ión o similar, con capacidad para mantener el equipo funcionando durante 4,5 horas como mínimo.</w:t>
            </w:r>
          </w:p>
          <w:p w:rsidR="007A047A"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Deberá incluir el cargador/fuente original correspondiente al equipo, acorde al consumo del mismo.</w:t>
            </w:r>
          </w:p>
          <w:p w:rsidR="007A047A" w:rsidRPr="00A34534" w:rsidRDefault="007A047A" w:rsidP="007A047A">
            <w:pPr>
              <w:pStyle w:val="Prrafodelista"/>
              <w:numPr>
                <w:ilvl w:val="0"/>
                <w:numId w:val="36"/>
              </w:numPr>
              <w:spacing w:after="0" w:line="240" w:lineRule="auto"/>
              <w:rPr>
                <w:rFonts w:cs="Times New Roman"/>
                <w:color w:val="000000" w:themeColor="text1"/>
                <w:szCs w:val="24"/>
                <w:lang w:val="es-ES_tradnl"/>
              </w:rPr>
            </w:pPr>
            <w:r w:rsidRPr="00A34534">
              <w:rPr>
                <w:rFonts w:cs="Times New Roman"/>
                <w:color w:val="000000" w:themeColor="text1"/>
                <w:szCs w:val="24"/>
                <w:lang w:val="es-ES_tradnl"/>
              </w:rPr>
              <w:t xml:space="preserve">Deberá incluir la funda de transporte correspondiente, preferentemente, tipo maletín, cuyas tapas podrán ser rígidas o blandas (indistinto), cuidando que cuenten con protección </w:t>
            </w:r>
            <w:r w:rsidRPr="00A34534">
              <w:rPr>
                <w:rFonts w:cs="Times New Roman"/>
                <w:color w:val="000000" w:themeColor="text1"/>
                <w:szCs w:val="24"/>
                <w:lang w:val="es-ES_tradnl"/>
              </w:rPr>
              <w:lastRenderedPageBreak/>
              <w:t>acolchonada para la computadora y además, tener un costo reducido.</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A047A" w:rsidRPr="00680A08" w:rsidRDefault="007A047A" w:rsidP="000F3BF6">
            <w:pPr>
              <w:contextualSpacing/>
              <w:rPr>
                <w:szCs w:val="24"/>
                <w:lang w:val="es-ES_tradnl"/>
              </w:rPr>
            </w:pPr>
            <w:r>
              <w:rPr>
                <w:szCs w:val="24"/>
                <w:lang w:val="es-ES_tradnl"/>
              </w:rPr>
              <w:lastRenderedPageBreak/>
              <w:t>6</w:t>
            </w:r>
          </w:p>
        </w:tc>
      </w:tr>
    </w:tbl>
    <w:p w:rsidR="007A047A" w:rsidRDefault="007A047A" w:rsidP="007A047A">
      <w:pPr>
        <w:pStyle w:val="Sangranormal"/>
        <w:tabs>
          <w:tab w:val="left" w:pos="1200"/>
          <w:tab w:val="left" w:pos="1680"/>
        </w:tabs>
        <w:spacing w:line="276" w:lineRule="auto"/>
        <w:ind w:left="0"/>
        <w:jc w:val="both"/>
        <w:rPr>
          <w:rFonts w:ascii="Verdana" w:hAnsi="Verdana" w:cs="Arial"/>
          <w:b/>
          <w:color w:val="FF0000"/>
          <w:sz w:val="22"/>
          <w:szCs w:val="20"/>
        </w:rPr>
      </w:pPr>
    </w:p>
    <w:p w:rsidR="007A047A" w:rsidRPr="00AA2D5B" w:rsidRDefault="007A047A" w:rsidP="007A047A">
      <w:pPr>
        <w:spacing w:after="0"/>
        <w:jc w:val="center"/>
        <w:rPr>
          <w:rFonts w:ascii="Times New Roman" w:hAnsi="Times New Roman"/>
          <w:b/>
          <w:sz w:val="24"/>
          <w:szCs w:val="24"/>
        </w:rPr>
      </w:pPr>
      <w:r w:rsidRPr="00AA2D5B">
        <w:rPr>
          <w:rFonts w:ascii="Times New Roman" w:hAnsi="Times New Roman"/>
          <w:b/>
          <w:sz w:val="24"/>
          <w:szCs w:val="24"/>
        </w:rPr>
        <w:t xml:space="preserve">ANEXO </w:t>
      </w:r>
      <w:r>
        <w:rPr>
          <w:rFonts w:ascii="Times New Roman" w:hAnsi="Times New Roman"/>
          <w:b/>
          <w:sz w:val="24"/>
          <w:szCs w:val="24"/>
        </w:rPr>
        <w:t xml:space="preserve">I </w:t>
      </w:r>
    </w:p>
    <w:p w:rsidR="007A047A" w:rsidRPr="00AA2D5B" w:rsidRDefault="007A047A" w:rsidP="007A047A">
      <w:pPr>
        <w:jc w:val="center"/>
        <w:rPr>
          <w:rFonts w:ascii="Times New Roman" w:hAnsi="Times New Roman"/>
          <w:b/>
          <w:sz w:val="24"/>
          <w:szCs w:val="24"/>
        </w:rPr>
      </w:pPr>
      <w:r w:rsidRPr="00AA2D5B">
        <w:rPr>
          <w:rFonts w:ascii="Times New Roman" w:hAnsi="Times New Roman"/>
          <w:b/>
          <w:sz w:val="24"/>
          <w:szCs w:val="24"/>
        </w:rPr>
        <w:t xml:space="preserve">Clausulas particulares para </w:t>
      </w:r>
      <w:r>
        <w:rPr>
          <w:rFonts w:ascii="Times New Roman" w:hAnsi="Times New Roman"/>
          <w:b/>
          <w:sz w:val="24"/>
          <w:szCs w:val="24"/>
        </w:rPr>
        <w:t>la compra de notebook.</w:t>
      </w:r>
    </w:p>
    <w:p w:rsidR="007A047A" w:rsidRPr="0092114C" w:rsidRDefault="007A047A" w:rsidP="007A047A">
      <w:pPr>
        <w:rPr>
          <w:rFonts w:ascii="Times New Roman" w:hAnsi="Times New Roman"/>
          <w:sz w:val="10"/>
          <w:szCs w:val="10"/>
        </w:rPr>
      </w:pPr>
      <w:r w:rsidRPr="0092114C">
        <w:rPr>
          <w:rFonts w:ascii="Times New Roman" w:hAnsi="Times New Roman"/>
          <w:b/>
          <w:sz w:val="24"/>
          <w:szCs w:val="24"/>
        </w:rPr>
        <w:t>PROCESO:</w:t>
      </w:r>
      <w:r w:rsidRPr="00005E92">
        <w:rPr>
          <w:rFonts w:ascii="Times New Roman" w:hAnsi="Times New Roman"/>
          <w:sz w:val="24"/>
          <w:szCs w:val="24"/>
        </w:rPr>
        <w:t xml:space="preserve"> </w:t>
      </w:r>
      <w:r w:rsidRPr="00FD5A42">
        <w:rPr>
          <w:rFonts w:ascii="Times New Roman" w:hAnsi="Times New Roman"/>
          <w:sz w:val="24"/>
          <w:szCs w:val="24"/>
        </w:rPr>
        <w:t>Licitación Publica N° 06</w:t>
      </w:r>
      <w:r>
        <w:rPr>
          <w:rFonts w:ascii="Times New Roman" w:hAnsi="Times New Roman"/>
          <w:sz w:val="24"/>
          <w:szCs w:val="24"/>
        </w:rPr>
        <w:t>/20</w:t>
      </w:r>
    </w:p>
    <w:p w:rsidR="007A047A" w:rsidRPr="0092114C" w:rsidRDefault="007A047A" w:rsidP="007A047A">
      <w:pPr>
        <w:rPr>
          <w:rFonts w:ascii="Times New Roman" w:hAnsi="Times New Roman"/>
          <w:sz w:val="10"/>
          <w:szCs w:val="10"/>
        </w:rPr>
      </w:pPr>
      <w:r w:rsidRPr="0092114C">
        <w:rPr>
          <w:rFonts w:ascii="Times New Roman" w:hAnsi="Times New Roman"/>
          <w:b/>
          <w:sz w:val="24"/>
          <w:szCs w:val="24"/>
        </w:rPr>
        <w:t>EXPEDIENTE:</w:t>
      </w:r>
      <w:r w:rsidRPr="00FD5A42">
        <w:rPr>
          <w:rFonts w:ascii="Times New Roman" w:hAnsi="Times New Roman"/>
          <w:sz w:val="24"/>
          <w:szCs w:val="24"/>
        </w:rPr>
        <w:t xml:space="preserve"> 800-003650-2020.</w:t>
      </w:r>
    </w:p>
    <w:p w:rsidR="007A047A" w:rsidRPr="007A047A" w:rsidRDefault="007A047A" w:rsidP="007A047A">
      <w:pPr>
        <w:jc w:val="both"/>
        <w:rPr>
          <w:rFonts w:ascii="Times New Roman" w:hAnsi="Times New Roman"/>
          <w:color w:val="FF0000"/>
          <w:sz w:val="10"/>
          <w:szCs w:val="10"/>
        </w:rPr>
      </w:pPr>
      <w:r w:rsidRPr="0092114C">
        <w:rPr>
          <w:rFonts w:ascii="Times New Roman" w:hAnsi="Times New Roman"/>
          <w:b/>
          <w:sz w:val="24"/>
          <w:szCs w:val="24"/>
        </w:rPr>
        <w:t>OBJETO:</w:t>
      </w:r>
      <w:r w:rsidRPr="00FD5A42">
        <w:rPr>
          <w:rFonts w:ascii="Times New Roman" w:hAnsi="Times New Roman"/>
          <w:sz w:val="24"/>
          <w:szCs w:val="24"/>
        </w:rPr>
        <w:t xml:space="preserve"> Compra de notebook para la implementación de </w:t>
      </w:r>
      <w:proofErr w:type="spellStart"/>
      <w:r w:rsidRPr="00FD5A42">
        <w:rPr>
          <w:rFonts w:ascii="Times New Roman" w:hAnsi="Times New Roman"/>
          <w:sz w:val="24"/>
          <w:szCs w:val="24"/>
        </w:rPr>
        <w:t>teleconsulta</w:t>
      </w:r>
      <w:proofErr w:type="spellEnd"/>
      <w:r w:rsidRPr="00FD5A42">
        <w:rPr>
          <w:rFonts w:ascii="Times New Roman" w:hAnsi="Times New Roman"/>
          <w:sz w:val="24"/>
          <w:szCs w:val="24"/>
        </w:rPr>
        <w:t xml:space="preserve"> COVID-19, destinado al Programa REDES, dependiente del Ministerio de Salud Pública</w:t>
      </w:r>
      <w:r>
        <w:rPr>
          <w:rFonts w:ascii="Times New Roman" w:hAnsi="Times New Roman"/>
          <w:color w:val="FF0000"/>
          <w:sz w:val="24"/>
          <w:szCs w:val="24"/>
        </w:rPr>
        <w:t>.</w:t>
      </w:r>
    </w:p>
    <w:p w:rsidR="007A047A" w:rsidRPr="0092114C" w:rsidRDefault="007A047A" w:rsidP="007A047A">
      <w:pPr>
        <w:jc w:val="both"/>
        <w:rPr>
          <w:rFonts w:ascii="Times New Roman" w:hAnsi="Times New Roman"/>
          <w:sz w:val="10"/>
          <w:szCs w:val="10"/>
        </w:rPr>
      </w:pPr>
      <w:r w:rsidRPr="0092114C">
        <w:rPr>
          <w:rFonts w:ascii="Times New Roman" w:hAnsi="Times New Roman"/>
          <w:b/>
          <w:sz w:val="24"/>
          <w:szCs w:val="24"/>
        </w:rPr>
        <w:t>VALOR DEL PLIEGO:</w:t>
      </w:r>
      <w:r w:rsidRPr="00FD5A42">
        <w:rPr>
          <w:rFonts w:ascii="Times New Roman" w:hAnsi="Times New Roman"/>
          <w:sz w:val="24"/>
          <w:szCs w:val="24"/>
        </w:rPr>
        <w:t xml:space="preserve"> $ </w:t>
      </w:r>
      <w:r>
        <w:rPr>
          <w:rFonts w:ascii="Times New Roman" w:hAnsi="Times New Roman"/>
          <w:sz w:val="24"/>
          <w:szCs w:val="24"/>
        </w:rPr>
        <w:t>2.000</w:t>
      </w:r>
      <w:r w:rsidRPr="00FD5A42">
        <w:rPr>
          <w:rFonts w:ascii="Times New Roman" w:hAnsi="Times New Roman"/>
          <w:sz w:val="24"/>
          <w:szCs w:val="24"/>
        </w:rPr>
        <w:t xml:space="preserve">,00.-  (Pesos </w:t>
      </w:r>
      <w:r>
        <w:rPr>
          <w:rFonts w:ascii="Times New Roman" w:hAnsi="Times New Roman"/>
          <w:sz w:val="24"/>
          <w:szCs w:val="24"/>
        </w:rPr>
        <w:t xml:space="preserve">Dos Mil </w:t>
      </w:r>
      <w:r w:rsidRPr="00FD5A42">
        <w:rPr>
          <w:rFonts w:ascii="Times New Roman" w:hAnsi="Times New Roman"/>
          <w:sz w:val="24"/>
          <w:szCs w:val="24"/>
        </w:rPr>
        <w:t>con 00/100.-).</w:t>
      </w:r>
    </w:p>
    <w:p w:rsidR="007A047A" w:rsidRPr="0092114C" w:rsidRDefault="007A047A" w:rsidP="007A047A">
      <w:pPr>
        <w:jc w:val="both"/>
        <w:rPr>
          <w:rFonts w:ascii="Times New Roman" w:hAnsi="Times New Roman"/>
          <w:sz w:val="10"/>
          <w:szCs w:val="10"/>
        </w:rPr>
      </w:pPr>
      <w:r w:rsidRPr="0092114C">
        <w:rPr>
          <w:rFonts w:ascii="Times New Roman" w:hAnsi="Times New Roman"/>
          <w:b/>
          <w:sz w:val="24"/>
          <w:szCs w:val="24"/>
        </w:rPr>
        <w:t>CÓDIGO SUGERIDO DE ACTIVIDAD:</w:t>
      </w:r>
      <w:r w:rsidRPr="00FD5A42">
        <w:rPr>
          <w:rFonts w:ascii="Times New Roman" w:hAnsi="Times New Roman"/>
          <w:sz w:val="24"/>
          <w:szCs w:val="24"/>
        </w:rPr>
        <w:t xml:space="preserve"> 465100 – 474010.</w:t>
      </w:r>
    </w:p>
    <w:p w:rsidR="007A047A" w:rsidRPr="00AA2D5B" w:rsidRDefault="007A047A" w:rsidP="007A047A">
      <w:pPr>
        <w:spacing w:after="100" w:afterAutospacing="1"/>
        <w:jc w:val="both"/>
        <w:rPr>
          <w:rFonts w:ascii="Times New Roman" w:hAnsi="Times New Roman"/>
          <w:bCs/>
          <w:sz w:val="24"/>
          <w:szCs w:val="24"/>
          <w:lang w:val="es-ES_tradnl"/>
        </w:rPr>
      </w:pPr>
      <w:r w:rsidRPr="00AA2D5B">
        <w:rPr>
          <w:rFonts w:ascii="Times New Roman" w:hAnsi="Times New Roman"/>
          <w:bCs/>
          <w:sz w:val="24"/>
          <w:szCs w:val="24"/>
          <w:lang w:val="es-ES_tradnl"/>
        </w:rPr>
        <w:t xml:space="preserve">La propuesta (Sobre General) será </w:t>
      </w:r>
      <w:proofErr w:type="spellStart"/>
      <w:r w:rsidRPr="00AA2D5B">
        <w:rPr>
          <w:rFonts w:ascii="Times New Roman" w:hAnsi="Times New Roman"/>
          <w:bCs/>
          <w:sz w:val="24"/>
          <w:szCs w:val="24"/>
          <w:lang w:val="es-ES_tradnl"/>
        </w:rPr>
        <w:t>recepcionada</w:t>
      </w:r>
      <w:proofErr w:type="spellEnd"/>
      <w:r w:rsidRPr="00AA2D5B">
        <w:rPr>
          <w:rFonts w:ascii="Times New Roman" w:hAnsi="Times New Roman"/>
          <w:bCs/>
          <w:sz w:val="24"/>
          <w:szCs w:val="24"/>
          <w:lang w:val="es-ES_tradnl"/>
        </w:rPr>
        <w:t xml:space="preserve"> en el día y hora fijado para la apertura del proceso citado, en </w:t>
      </w:r>
      <w:r>
        <w:rPr>
          <w:rFonts w:ascii="Times New Roman" w:hAnsi="Times New Roman"/>
          <w:bCs/>
          <w:sz w:val="24"/>
          <w:szCs w:val="24"/>
          <w:lang w:val="es-ES_tradnl"/>
        </w:rPr>
        <w:t>el</w:t>
      </w:r>
      <w:r w:rsidRPr="00AA2D5B">
        <w:rPr>
          <w:rFonts w:ascii="Times New Roman" w:hAnsi="Times New Roman"/>
          <w:bCs/>
          <w:sz w:val="24"/>
          <w:szCs w:val="24"/>
          <w:lang w:val="es-ES_tradnl"/>
        </w:rPr>
        <w:t xml:space="preserve"> </w:t>
      </w:r>
      <w:r>
        <w:rPr>
          <w:rFonts w:ascii="Times New Roman" w:hAnsi="Times New Roman"/>
          <w:bCs/>
          <w:sz w:val="24"/>
          <w:szCs w:val="24"/>
          <w:lang w:val="es-ES_tradnl"/>
        </w:rPr>
        <w:t>Departamento</w:t>
      </w:r>
      <w:r w:rsidRPr="00AA2D5B">
        <w:rPr>
          <w:rFonts w:ascii="Times New Roman" w:hAnsi="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bCs/>
          <w:sz w:val="24"/>
          <w:szCs w:val="24"/>
          <w:lang w:val="es-ES_tradnl"/>
        </w:rPr>
        <w:t>750 (Oeste) Capital - San Juan:</w:t>
      </w:r>
    </w:p>
    <w:p w:rsidR="007A047A" w:rsidRPr="006D6B2D" w:rsidRDefault="007A047A" w:rsidP="007A047A">
      <w:pPr>
        <w:numPr>
          <w:ilvl w:val="0"/>
          <w:numId w:val="15"/>
        </w:numPr>
        <w:spacing w:after="100" w:afterAutospacing="1" w:line="240" w:lineRule="auto"/>
        <w:ind w:left="0" w:firstLine="0"/>
        <w:jc w:val="both"/>
        <w:rPr>
          <w:rFonts w:ascii="Times New Roman" w:hAnsi="Times New Roman"/>
          <w:bCs/>
          <w:sz w:val="24"/>
          <w:szCs w:val="24"/>
          <w:lang w:val="es-ES_tradnl"/>
        </w:rPr>
      </w:pPr>
      <w:r w:rsidRPr="00935073">
        <w:rPr>
          <w:rFonts w:ascii="Times New Roman" w:hAnsi="Times New Roman"/>
          <w:b/>
          <w:bCs/>
          <w:sz w:val="24"/>
          <w:szCs w:val="24"/>
          <w:lang w:val="es-ES_tradnl"/>
        </w:rPr>
        <w:t>Formas de presentación</w:t>
      </w:r>
      <w:r>
        <w:rPr>
          <w:rFonts w:ascii="Times New Roman" w:hAnsi="Times New Roman"/>
          <w:b/>
          <w:bCs/>
          <w:sz w:val="24"/>
          <w:szCs w:val="24"/>
          <w:lang w:val="es-ES_tradnl"/>
        </w:rPr>
        <w:t xml:space="preserve"> de la Propuesta</w:t>
      </w:r>
      <w:r>
        <w:rPr>
          <w:rFonts w:ascii="Times New Roman" w:hAnsi="Times New Roman"/>
          <w:bCs/>
          <w:sz w:val="24"/>
          <w:szCs w:val="24"/>
          <w:lang w:val="es-ES_tradnl"/>
        </w:rPr>
        <w:t>:</w:t>
      </w:r>
    </w:p>
    <w:p w:rsidR="007A047A" w:rsidRDefault="007A047A" w:rsidP="007A047A">
      <w:pPr>
        <w:widowControl w:val="0"/>
        <w:spacing w:after="100" w:afterAutospacing="1"/>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La Propuesta se presentará en </w:t>
      </w:r>
      <w:r w:rsidRPr="00E12E66">
        <w:rPr>
          <w:rFonts w:ascii="Times New Roman" w:hAnsi="Times New Roman"/>
          <w:b/>
          <w:bCs/>
          <w:sz w:val="24"/>
          <w:szCs w:val="24"/>
          <w:lang w:val="es-ES_tradnl"/>
        </w:rPr>
        <w:t>Sobre General</w:t>
      </w:r>
      <w:r w:rsidRPr="00E12E66">
        <w:rPr>
          <w:rFonts w:ascii="Times New Roman" w:hAnsi="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b/>
          <w:bCs/>
          <w:sz w:val="24"/>
          <w:szCs w:val="24"/>
          <w:lang w:val="es-ES_tradnl"/>
        </w:rPr>
        <w:t>Sobre N°1</w:t>
      </w:r>
      <w:r w:rsidRPr="00E12E66">
        <w:rPr>
          <w:rFonts w:ascii="Times New Roman" w:hAnsi="Times New Roman"/>
          <w:bCs/>
          <w:sz w:val="24"/>
          <w:szCs w:val="24"/>
          <w:lang w:val="es-ES_tradnl"/>
        </w:rPr>
        <w:t xml:space="preserve"> con la documentación exigida</w:t>
      </w:r>
      <w:r>
        <w:rPr>
          <w:rFonts w:ascii="Times New Roman" w:hAnsi="Times New Roman"/>
          <w:bCs/>
          <w:sz w:val="24"/>
          <w:szCs w:val="24"/>
          <w:lang w:val="es-ES_tradnl"/>
        </w:rPr>
        <w:t>, redactada en idioma castellano y escrita en papel impreso,</w:t>
      </w:r>
      <w:r w:rsidRPr="00E12E66">
        <w:rPr>
          <w:rFonts w:ascii="Times New Roman" w:hAnsi="Times New Roman"/>
          <w:bCs/>
          <w:sz w:val="24"/>
          <w:szCs w:val="24"/>
          <w:lang w:val="es-ES_tradnl"/>
        </w:rPr>
        <w:t xml:space="preserve"> en original debida</w:t>
      </w:r>
      <w:r>
        <w:rPr>
          <w:rFonts w:ascii="Times New Roman" w:hAnsi="Times New Roman"/>
          <w:bCs/>
          <w:sz w:val="24"/>
          <w:szCs w:val="24"/>
          <w:lang w:val="es-ES_tradnl"/>
        </w:rPr>
        <w:t xml:space="preserve">mente certificada, legalizada, </w:t>
      </w:r>
      <w:r w:rsidRPr="00E12E66">
        <w:rPr>
          <w:rFonts w:ascii="Times New Roman" w:hAnsi="Times New Roman"/>
          <w:bCs/>
          <w:sz w:val="24"/>
          <w:szCs w:val="24"/>
          <w:lang w:val="es-ES_tradnl"/>
        </w:rPr>
        <w:t xml:space="preserve">firmada </w:t>
      </w:r>
      <w:r>
        <w:rPr>
          <w:rFonts w:ascii="Times New Roman" w:hAnsi="Times New Roman"/>
          <w:bCs/>
          <w:sz w:val="24"/>
          <w:szCs w:val="24"/>
          <w:lang w:val="es-ES_tradnl"/>
        </w:rPr>
        <w:t xml:space="preserve">y aclarada </w:t>
      </w:r>
      <w:r w:rsidRPr="00E12E66">
        <w:rPr>
          <w:rFonts w:ascii="Times New Roman" w:hAnsi="Times New Roman"/>
          <w:bCs/>
          <w:sz w:val="24"/>
          <w:szCs w:val="24"/>
          <w:lang w:val="es-ES_tradnl"/>
        </w:rPr>
        <w:t>según corresponda</w:t>
      </w:r>
      <w:r>
        <w:rPr>
          <w:rFonts w:ascii="Times New Roman" w:hAnsi="Times New Roman"/>
          <w:bCs/>
          <w:sz w:val="24"/>
          <w:szCs w:val="24"/>
          <w:lang w:val="es-ES_tradnl"/>
        </w:rPr>
        <w:t xml:space="preserve"> en cada cara escrita de cada hoja, y</w:t>
      </w:r>
      <w:r w:rsidRPr="00E12E66">
        <w:rPr>
          <w:rFonts w:ascii="Times New Roman" w:hAnsi="Times New Roman"/>
          <w:bCs/>
          <w:sz w:val="24"/>
          <w:szCs w:val="24"/>
          <w:lang w:val="es-ES_tradnl"/>
        </w:rPr>
        <w:t xml:space="preserve"> el duplicado en copia simple firmado y aclarado por el proponente. Y el </w:t>
      </w:r>
      <w:r w:rsidRPr="00E12E66">
        <w:rPr>
          <w:rFonts w:ascii="Times New Roman" w:hAnsi="Times New Roman"/>
          <w:b/>
          <w:bCs/>
          <w:sz w:val="24"/>
          <w:szCs w:val="24"/>
          <w:lang w:val="es-ES_tradnl"/>
        </w:rPr>
        <w:t>Sobre N° 2</w:t>
      </w:r>
      <w:r w:rsidRPr="00E12E66">
        <w:rPr>
          <w:rFonts w:ascii="Times New Roman" w:hAnsi="Times New Roman"/>
          <w:bCs/>
          <w:sz w:val="24"/>
          <w:szCs w:val="24"/>
          <w:lang w:val="es-ES_tradnl"/>
        </w:rPr>
        <w:t xml:space="preserve"> con la Oferta Económica Principal con el de</w:t>
      </w:r>
      <w:r>
        <w:rPr>
          <w:rFonts w:ascii="Times New Roman" w:hAnsi="Times New Roman"/>
          <w:bCs/>
          <w:sz w:val="24"/>
          <w:szCs w:val="24"/>
          <w:lang w:val="es-ES_tradnl"/>
        </w:rPr>
        <w:t xml:space="preserve">talle técnico que la acompañe, ambos </w:t>
      </w:r>
      <w:r w:rsidRPr="00E12E66">
        <w:rPr>
          <w:rFonts w:ascii="Times New Roman" w:hAnsi="Times New Roman"/>
          <w:bCs/>
          <w:sz w:val="24"/>
          <w:szCs w:val="24"/>
          <w:lang w:val="es-ES_tradnl"/>
        </w:rPr>
        <w:t>por duplicado</w:t>
      </w:r>
      <w:r>
        <w:rPr>
          <w:rFonts w:ascii="Times New Roman" w:hAnsi="Times New Roman"/>
          <w:bCs/>
          <w:sz w:val="24"/>
          <w:szCs w:val="24"/>
          <w:lang w:val="es-ES_tradnl"/>
        </w:rPr>
        <w:t>, firmada y aclarada según corresponda en cada cara escrita de cada hoja</w:t>
      </w:r>
      <w:r w:rsidRPr="00E12E66">
        <w:rPr>
          <w:rFonts w:ascii="Times New Roman" w:hAnsi="Times New Roman"/>
          <w:bCs/>
          <w:sz w:val="24"/>
          <w:szCs w:val="24"/>
          <w:lang w:val="es-ES_tradnl"/>
        </w:rPr>
        <w:t xml:space="preserve">. En caso de presentar Oferta Económica Alternativa con el detalle técnico respectivo, </w:t>
      </w:r>
      <w:r>
        <w:rPr>
          <w:rFonts w:ascii="Times New Roman" w:hAnsi="Times New Roman"/>
          <w:bCs/>
          <w:sz w:val="24"/>
          <w:szCs w:val="24"/>
          <w:lang w:val="es-ES_tradnl"/>
        </w:rPr>
        <w:t xml:space="preserve">ambos </w:t>
      </w:r>
      <w:r w:rsidRPr="00E12E66">
        <w:rPr>
          <w:rFonts w:ascii="Times New Roman" w:hAnsi="Times New Roman"/>
          <w:bCs/>
          <w:sz w:val="24"/>
          <w:szCs w:val="24"/>
          <w:lang w:val="es-ES_tradnl"/>
        </w:rPr>
        <w:t>por duplicado, en sobre cerrado separado y dentro del Sobre General.</w:t>
      </w:r>
    </w:p>
    <w:p w:rsidR="007A047A" w:rsidRPr="00E12E66" w:rsidRDefault="007A047A" w:rsidP="007A047A">
      <w:pPr>
        <w:widowControl w:val="0"/>
        <w:spacing w:after="100" w:afterAutospacing="1"/>
        <w:jc w:val="both"/>
        <w:rPr>
          <w:rFonts w:ascii="Times New Roman" w:hAnsi="Times New Roman"/>
          <w:bCs/>
          <w:sz w:val="24"/>
          <w:szCs w:val="24"/>
          <w:lang w:val="es-ES_tradnl"/>
        </w:rPr>
      </w:pPr>
      <w:r w:rsidRPr="008F6A37">
        <w:rPr>
          <w:rFonts w:ascii="Times New Roman" w:hAnsi="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7A047A" w:rsidRPr="00E12E66" w:rsidRDefault="007A047A" w:rsidP="007A047A">
      <w:pPr>
        <w:widowControl w:val="0"/>
        <w:numPr>
          <w:ilvl w:val="0"/>
          <w:numId w:val="13"/>
        </w:numPr>
        <w:spacing w:after="100" w:afterAutospacing="1" w:line="240" w:lineRule="auto"/>
        <w:ind w:left="567"/>
        <w:jc w:val="both"/>
        <w:rPr>
          <w:rFonts w:ascii="Times New Roman" w:hAnsi="Times New Roman"/>
          <w:b/>
          <w:bCs/>
          <w:sz w:val="24"/>
          <w:szCs w:val="24"/>
          <w:lang w:val="es-ES_tradnl"/>
        </w:rPr>
      </w:pPr>
      <w:r w:rsidRPr="00E12E66">
        <w:rPr>
          <w:rFonts w:ascii="Times New Roman" w:hAnsi="Times New Roman"/>
          <w:b/>
          <w:bCs/>
          <w:sz w:val="24"/>
          <w:szCs w:val="24"/>
          <w:lang w:val="es-ES_tradnl"/>
        </w:rPr>
        <w:t>La documentación exigida (Sobre N° 1) será:</w:t>
      </w:r>
    </w:p>
    <w:p w:rsidR="007A047A" w:rsidRPr="00E12E66" w:rsidRDefault="007A047A" w:rsidP="007A047A">
      <w:pPr>
        <w:widowControl w:val="0"/>
        <w:spacing w:after="100" w:afterAutospacing="1"/>
        <w:ind w:left="425"/>
        <w:jc w:val="both"/>
        <w:rPr>
          <w:rFonts w:ascii="Times New Roman" w:hAnsi="Times New Roman"/>
          <w:b/>
          <w:bCs/>
          <w:sz w:val="24"/>
          <w:szCs w:val="24"/>
          <w:u w:val="single"/>
          <w:lang w:val="es-ES_tradnl"/>
        </w:rPr>
      </w:pPr>
      <w:r w:rsidRPr="00E12E66">
        <w:rPr>
          <w:rFonts w:ascii="Times New Roman" w:hAnsi="Times New Roman"/>
          <w:b/>
          <w:bCs/>
          <w:sz w:val="24"/>
          <w:szCs w:val="24"/>
          <w:u w:val="single"/>
          <w:lang w:val="es-ES_tradnl"/>
        </w:rPr>
        <w:t>DOCUMENTACIÓN GENERAL</w:t>
      </w:r>
    </w:p>
    <w:p w:rsidR="007A047A" w:rsidRPr="00090C8C" w:rsidRDefault="007A047A" w:rsidP="007A047A">
      <w:pPr>
        <w:numPr>
          <w:ilvl w:val="0"/>
          <w:numId w:val="14"/>
        </w:numPr>
        <w:suppressAutoHyphens/>
        <w:spacing w:after="120" w:line="240" w:lineRule="auto"/>
        <w:ind w:left="851"/>
        <w:jc w:val="both"/>
        <w:rPr>
          <w:rFonts w:ascii="Times New Roman" w:hAnsi="Times New Roman"/>
          <w:bCs/>
          <w:sz w:val="24"/>
          <w:szCs w:val="24"/>
          <w:lang w:val="es-ES_tradnl"/>
        </w:rPr>
      </w:pPr>
      <w:r w:rsidRPr="00090C8C">
        <w:rPr>
          <w:rFonts w:ascii="Times New Roman" w:hAnsi="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7A047A" w:rsidRPr="00E12E66" w:rsidRDefault="007A047A" w:rsidP="007A047A">
      <w:pPr>
        <w:numPr>
          <w:ilvl w:val="0"/>
          <w:numId w:val="14"/>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Certificado de Destinatario de Pago del Estado Provincial</w:t>
      </w:r>
      <w:r>
        <w:rPr>
          <w:rFonts w:ascii="Times New Roman" w:hAnsi="Times New Roman"/>
          <w:bCs/>
          <w:sz w:val="24"/>
          <w:szCs w:val="24"/>
          <w:lang w:val="es-ES_tradnl"/>
        </w:rPr>
        <w:t xml:space="preserve"> o RUPE (Registro Único de Proveedores del Estado)</w:t>
      </w:r>
      <w:r w:rsidRPr="00E12E66">
        <w:rPr>
          <w:rFonts w:ascii="Times New Roman" w:hAnsi="Times New Roman"/>
          <w:bCs/>
          <w:sz w:val="24"/>
          <w:szCs w:val="24"/>
          <w:lang w:val="es-ES_tradnl"/>
        </w:rPr>
        <w:t>.</w:t>
      </w:r>
    </w:p>
    <w:p w:rsidR="007A047A" w:rsidRPr="00E12E66" w:rsidRDefault="007A047A" w:rsidP="007A047A">
      <w:pPr>
        <w:numPr>
          <w:ilvl w:val="0"/>
          <w:numId w:val="14"/>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w:t>
      </w:r>
      <w:r w:rsidRPr="00E12E66">
        <w:rPr>
          <w:rFonts w:ascii="Times New Roman" w:hAnsi="Times New Roman"/>
          <w:bCs/>
          <w:sz w:val="24"/>
          <w:szCs w:val="24"/>
          <w:lang w:val="es-ES_tradnl"/>
        </w:rPr>
        <w:lastRenderedPageBreak/>
        <w:t>acompañar la última acta de reunión de socios donde acredite la conformación o participación societaria vigente a la fecha de la presentación del presente proceso.</w:t>
      </w:r>
    </w:p>
    <w:p w:rsidR="007A047A" w:rsidRPr="00E12E66" w:rsidRDefault="007A047A" w:rsidP="007A047A">
      <w:pPr>
        <w:numPr>
          <w:ilvl w:val="0"/>
          <w:numId w:val="14"/>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7A047A" w:rsidRPr="00E12E66" w:rsidRDefault="007A047A" w:rsidP="007A047A">
      <w:pPr>
        <w:numPr>
          <w:ilvl w:val="0"/>
          <w:numId w:val="14"/>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Copia de constancia de inscripción en la AFIP vigente</w:t>
      </w:r>
      <w:r>
        <w:rPr>
          <w:rFonts w:ascii="Times New Roman" w:hAnsi="Times New Roman"/>
          <w:bCs/>
          <w:sz w:val="24"/>
          <w:szCs w:val="24"/>
          <w:lang w:val="es-ES_tradnl"/>
        </w:rPr>
        <w:t>.</w:t>
      </w:r>
    </w:p>
    <w:p w:rsidR="007A047A" w:rsidRPr="00E12E66" w:rsidRDefault="007A047A" w:rsidP="007A047A">
      <w:pPr>
        <w:widowControl w:val="0"/>
        <w:numPr>
          <w:ilvl w:val="0"/>
          <w:numId w:val="14"/>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Certificado o Constancia de Inscripción de Ingresos Brutos vigente, con la actividad o rubro que se cotiza.</w:t>
      </w:r>
    </w:p>
    <w:p w:rsidR="007A047A" w:rsidRPr="00E12E66" w:rsidRDefault="007A047A" w:rsidP="007A047A">
      <w:pPr>
        <w:widowControl w:val="0"/>
        <w:numPr>
          <w:ilvl w:val="0"/>
          <w:numId w:val="14"/>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Deberá presentar: </w:t>
      </w:r>
    </w:p>
    <w:p w:rsidR="007A047A" w:rsidRPr="00E12E66" w:rsidRDefault="007A047A" w:rsidP="007A047A">
      <w:pPr>
        <w:numPr>
          <w:ilvl w:val="0"/>
          <w:numId w:val="11"/>
        </w:numPr>
        <w:suppressAutoHyphens/>
        <w:spacing w:after="120" w:line="240" w:lineRule="auto"/>
        <w:ind w:left="1276"/>
        <w:jc w:val="both"/>
        <w:rPr>
          <w:rFonts w:ascii="Times New Roman" w:hAnsi="Times New Roman"/>
          <w:bCs/>
          <w:sz w:val="24"/>
          <w:szCs w:val="24"/>
          <w:lang w:val="es-ES_tradnl"/>
        </w:rPr>
      </w:pPr>
      <w:r w:rsidRPr="00E12E66">
        <w:rPr>
          <w:rFonts w:ascii="Times New Roman" w:hAnsi="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7A047A" w:rsidRPr="00E12E66" w:rsidRDefault="007A047A" w:rsidP="007A047A">
      <w:pPr>
        <w:numPr>
          <w:ilvl w:val="0"/>
          <w:numId w:val="11"/>
        </w:numPr>
        <w:suppressAutoHyphens/>
        <w:spacing w:after="120" w:line="240" w:lineRule="auto"/>
        <w:ind w:left="1276"/>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Declaración Jurada que conoce y acepta el presente régimen de compras con sus Cláusulas Generales y Particulares. </w:t>
      </w:r>
    </w:p>
    <w:p w:rsidR="007A047A" w:rsidRPr="00E12E66" w:rsidRDefault="007A047A" w:rsidP="007A047A">
      <w:pPr>
        <w:numPr>
          <w:ilvl w:val="0"/>
          <w:numId w:val="11"/>
        </w:numPr>
        <w:suppressAutoHyphens/>
        <w:spacing w:after="120" w:line="240" w:lineRule="auto"/>
        <w:ind w:left="1276"/>
        <w:jc w:val="both"/>
        <w:rPr>
          <w:rFonts w:ascii="Times New Roman" w:hAnsi="Times New Roman"/>
          <w:bCs/>
          <w:sz w:val="24"/>
          <w:szCs w:val="24"/>
          <w:lang w:val="es-ES_tradnl"/>
        </w:rPr>
      </w:pPr>
      <w:r w:rsidRPr="00E12E66">
        <w:rPr>
          <w:rFonts w:ascii="Times New Roman" w:hAnsi="Times New Roman"/>
          <w:bCs/>
          <w:sz w:val="24"/>
          <w:szCs w:val="24"/>
          <w:lang w:val="es-ES_tradnl"/>
        </w:rPr>
        <w:t>Constituir Domicilio Legal para el presente trámite en la Provincia de San Juan.</w:t>
      </w:r>
    </w:p>
    <w:p w:rsidR="007A047A" w:rsidRPr="00E12E66" w:rsidRDefault="007A047A" w:rsidP="007A047A">
      <w:pPr>
        <w:numPr>
          <w:ilvl w:val="0"/>
          <w:numId w:val="11"/>
        </w:numPr>
        <w:suppressAutoHyphens/>
        <w:spacing w:after="120" w:line="240" w:lineRule="auto"/>
        <w:ind w:left="1276"/>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7A047A" w:rsidRPr="00E12E66" w:rsidRDefault="007A047A" w:rsidP="007A047A">
      <w:pPr>
        <w:numPr>
          <w:ilvl w:val="0"/>
          <w:numId w:val="14"/>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En caso de </w:t>
      </w:r>
      <w:r w:rsidRPr="00E12E66">
        <w:rPr>
          <w:rFonts w:ascii="Times New Roman" w:hAnsi="Times New Roman"/>
          <w:b/>
          <w:bCs/>
          <w:sz w:val="24"/>
          <w:szCs w:val="24"/>
          <w:lang w:val="es-ES_tradnl"/>
        </w:rPr>
        <w:t>Personas Jurídicas</w:t>
      </w:r>
      <w:r w:rsidRPr="00E12E66">
        <w:rPr>
          <w:rFonts w:ascii="Times New Roman" w:hAnsi="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7A047A" w:rsidRPr="00E12E66" w:rsidRDefault="007A047A" w:rsidP="007A047A">
      <w:pPr>
        <w:spacing w:after="120"/>
        <w:ind w:left="851"/>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En caso de </w:t>
      </w:r>
      <w:r w:rsidRPr="00E12E66">
        <w:rPr>
          <w:rFonts w:ascii="Times New Roman" w:hAnsi="Times New Roman"/>
          <w:b/>
          <w:bCs/>
          <w:sz w:val="24"/>
          <w:szCs w:val="24"/>
          <w:lang w:val="es-ES_tradnl"/>
        </w:rPr>
        <w:t xml:space="preserve">Personas Físicas </w:t>
      </w:r>
      <w:r w:rsidRPr="00E12E66">
        <w:rPr>
          <w:rFonts w:ascii="Times New Roman" w:hAnsi="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7A047A" w:rsidRPr="00E12E66" w:rsidRDefault="007A047A" w:rsidP="007A047A">
      <w:pPr>
        <w:numPr>
          <w:ilvl w:val="0"/>
          <w:numId w:val="14"/>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Deberá adjuntar Declaración Jurada Ley 17.250 Formulario 522/A de la AFIP (anterior Formulario 580) o en su defecto aquel que lo reemplace, y su correspondiente acuse de recibo.</w:t>
      </w:r>
    </w:p>
    <w:p w:rsidR="007A047A" w:rsidRDefault="007A047A" w:rsidP="007A047A">
      <w:pPr>
        <w:widowControl w:val="0"/>
        <w:numPr>
          <w:ilvl w:val="0"/>
          <w:numId w:val="14"/>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7A047A" w:rsidRPr="00593911" w:rsidRDefault="007A047A" w:rsidP="007A047A">
      <w:pPr>
        <w:widowControl w:val="0"/>
        <w:numPr>
          <w:ilvl w:val="0"/>
          <w:numId w:val="14"/>
        </w:numPr>
        <w:suppressAutoHyphens/>
        <w:spacing w:after="120" w:line="240" w:lineRule="auto"/>
        <w:ind w:left="851" w:hanging="357"/>
        <w:jc w:val="both"/>
        <w:rPr>
          <w:rFonts w:ascii="Times New Roman" w:hAnsi="Times New Roman"/>
          <w:bCs/>
          <w:sz w:val="24"/>
          <w:szCs w:val="24"/>
          <w:lang w:val="es-ES_tradnl"/>
        </w:rPr>
      </w:pPr>
      <w:r w:rsidRPr="00FA12C6">
        <w:rPr>
          <w:rFonts w:ascii="Times New Roman" w:hAnsi="Times New Roman"/>
          <w:b/>
          <w:bCs/>
          <w:sz w:val="24"/>
          <w:szCs w:val="24"/>
          <w:lang w:val="es-ES_tradnl"/>
        </w:rPr>
        <w:t>Garantía de Oferta</w:t>
      </w:r>
      <w:r w:rsidRPr="00FA12C6">
        <w:rPr>
          <w:rFonts w:ascii="Times New Roman" w:hAnsi="Times New Roman"/>
          <w:bCs/>
          <w:sz w:val="24"/>
          <w:szCs w:val="24"/>
          <w:lang w:val="es-ES_tradnl"/>
        </w:rPr>
        <w:t xml:space="preserve">: Presentar garantía equivalente al </w:t>
      </w:r>
      <w:r w:rsidRPr="00FA12C6">
        <w:rPr>
          <w:rFonts w:ascii="Times New Roman" w:hAnsi="Times New Roman"/>
          <w:b/>
          <w:bCs/>
          <w:sz w:val="24"/>
          <w:szCs w:val="24"/>
          <w:lang w:val="es-ES_tradnl"/>
        </w:rPr>
        <w:t>1%</w:t>
      </w:r>
      <w:r w:rsidRPr="00FA12C6">
        <w:rPr>
          <w:rFonts w:ascii="Times New Roman" w:hAnsi="Times New Roman"/>
          <w:bCs/>
          <w:sz w:val="24"/>
          <w:szCs w:val="24"/>
          <w:lang w:val="es-ES_tradnl"/>
        </w:rPr>
        <w:t xml:space="preserve"> del mayor valor total ofertado en cualquiera de las siguientes formas: </w:t>
      </w:r>
    </w:p>
    <w:p w:rsidR="007A047A" w:rsidRDefault="007A047A" w:rsidP="007A047A">
      <w:pPr>
        <w:ind w:left="425"/>
        <w:jc w:val="both"/>
        <w:rPr>
          <w:rFonts w:ascii="Times New Roman" w:hAnsi="Times New Roman"/>
          <w:bCs/>
          <w:sz w:val="24"/>
          <w:szCs w:val="24"/>
          <w:u w:val="single"/>
          <w:lang w:val="es-ES_tradnl"/>
        </w:rPr>
      </w:pPr>
      <w:r>
        <w:rPr>
          <w:rFonts w:ascii="Times New Roman" w:hAnsi="Times New Roman"/>
          <w:bCs/>
          <w:sz w:val="24"/>
          <w:szCs w:val="24"/>
          <w:lang w:val="es-ES_tradnl"/>
        </w:rPr>
        <w:t xml:space="preserve">a) </w:t>
      </w:r>
      <w:r>
        <w:rPr>
          <w:rFonts w:ascii="Times New Roman" w:hAnsi="Times New Roman"/>
          <w:bCs/>
          <w:sz w:val="24"/>
          <w:szCs w:val="24"/>
          <w:u w:val="single"/>
          <w:lang w:val="es-ES_tradnl"/>
        </w:rPr>
        <w:t>Títulos aforados a su valor nominal de la deuda pública Provincial o Nacional.</w:t>
      </w:r>
    </w:p>
    <w:p w:rsidR="007A047A" w:rsidRDefault="007A047A" w:rsidP="007A047A">
      <w:pPr>
        <w:ind w:left="425"/>
        <w:jc w:val="both"/>
        <w:rPr>
          <w:rFonts w:ascii="Times New Roman" w:hAnsi="Times New Roman"/>
          <w:bCs/>
          <w:sz w:val="24"/>
          <w:szCs w:val="24"/>
          <w:u w:val="single"/>
          <w:lang w:val="es-ES_tradnl"/>
        </w:rPr>
      </w:pPr>
      <w:r>
        <w:rPr>
          <w:rFonts w:ascii="Times New Roman" w:hAnsi="Times New Roman"/>
          <w:bCs/>
          <w:sz w:val="24"/>
          <w:szCs w:val="24"/>
          <w:lang w:val="es-ES_tradnl"/>
        </w:rPr>
        <w:t xml:space="preserve">b) </w:t>
      </w:r>
      <w:r>
        <w:rPr>
          <w:rFonts w:ascii="Times New Roman" w:hAnsi="Times New Roman"/>
          <w:bCs/>
          <w:sz w:val="24"/>
          <w:szCs w:val="24"/>
          <w:u w:val="single"/>
          <w:lang w:val="es-ES_tradnl"/>
        </w:rPr>
        <w:t>Aval bancario.</w:t>
      </w:r>
    </w:p>
    <w:p w:rsidR="007A047A" w:rsidRPr="009B610F" w:rsidRDefault="007A047A" w:rsidP="007A047A">
      <w:pPr>
        <w:suppressAutoHyphens/>
        <w:spacing w:after="120"/>
        <w:ind w:left="851" w:hanging="425"/>
        <w:jc w:val="both"/>
        <w:rPr>
          <w:rFonts w:ascii="Times New Roman" w:hAnsi="Times New Roman"/>
          <w:bCs/>
          <w:sz w:val="24"/>
          <w:szCs w:val="24"/>
          <w:lang w:val="es-ES_tradnl"/>
        </w:rPr>
      </w:pPr>
      <w:r>
        <w:rPr>
          <w:rFonts w:ascii="Times New Roman" w:hAnsi="Times New Roman"/>
          <w:bCs/>
          <w:sz w:val="24"/>
          <w:szCs w:val="24"/>
          <w:lang w:val="es-ES_tradnl"/>
        </w:rPr>
        <w:t xml:space="preserve">c) </w:t>
      </w:r>
      <w:r w:rsidRPr="009B610F">
        <w:rPr>
          <w:rFonts w:ascii="Times New Roman" w:hAnsi="Times New Roman"/>
          <w:bCs/>
          <w:sz w:val="24"/>
          <w:szCs w:val="24"/>
          <w:u w:val="single"/>
          <w:lang w:val="es-ES_tradnl"/>
        </w:rPr>
        <w:t>Crédito Bancario:</w:t>
      </w:r>
      <w:r w:rsidRPr="009B610F">
        <w:rPr>
          <w:rFonts w:ascii="Times New Roman" w:hAnsi="Times New Roman"/>
          <w:bCs/>
          <w:sz w:val="24"/>
          <w:szCs w:val="24"/>
          <w:lang w:val="es-ES_tradnl"/>
        </w:rPr>
        <w:t xml:space="preserve"> Con depósito en cuenta N° 600-202956/6 (Garantía de Licitación – Banco San Juan SA). Se pueden realizar de la siguiente manera:</w:t>
      </w:r>
    </w:p>
    <w:p w:rsidR="007A047A" w:rsidRPr="009B610F" w:rsidRDefault="007A047A" w:rsidP="007A047A">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7A047A" w:rsidRPr="009B610F" w:rsidRDefault="007A047A" w:rsidP="007A047A">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lastRenderedPageBreak/>
        <w:t>- Transferencia Bancaria, debe adjuntar comprobante de transferencia y formulario de nota de la declaración jurada según Circular Conjunta N° 002-OCC-2019 y 001-TGP-2019.</w:t>
      </w:r>
    </w:p>
    <w:p w:rsidR="007A047A" w:rsidRPr="009B610F" w:rsidRDefault="007A047A" w:rsidP="007A047A">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 xml:space="preserve"> “No se admitirá el trámite por auto gestión, por no poderse identificar con el procedimiento que genera su origen” </w:t>
      </w:r>
    </w:p>
    <w:p w:rsidR="007A047A" w:rsidRDefault="007A047A" w:rsidP="007A047A">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El comprobante de la boleta o transferencia deberá ser incluido en el Sobre con la Documentación solicitada.</w:t>
      </w:r>
    </w:p>
    <w:p w:rsidR="007A047A" w:rsidRDefault="007A047A" w:rsidP="007A047A">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7A047A" w:rsidRDefault="007A047A" w:rsidP="007A047A">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7A047A" w:rsidRDefault="007A047A" w:rsidP="007A047A">
      <w:pPr>
        <w:pStyle w:val="NormalWeb"/>
        <w:spacing w:before="0" w:beforeAutospacing="0" w:after="0" w:line="276" w:lineRule="auto"/>
        <w:jc w:val="both"/>
        <w:rPr>
          <w:rFonts w:eastAsiaTheme="minorHAnsi"/>
          <w:bCs/>
          <w:lang w:val="es-ES_tradnl" w:eastAsia="en-US"/>
        </w:rPr>
      </w:pPr>
    </w:p>
    <w:p w:rsidR="007A047A" w:rsidRDefault="007A047A" w:rsidP="007A047A">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7A047A" w:rsidRDefault="007A047A" w:rsidP="007A047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7A047A" w:rsidRDefault="007A047A" w:rsidP="007A047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7A047A" w:rsidRDefault="007A047A" w:rsidP="007A047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7A047A" w:rsidRDefault="007A047A" w:rsidP="007A047A">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7A047A" w:rsidRDefault="007A047A" w:rsidP="007A047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7A047A" w:rsidRDefault="007A047A" w:rsidP="007A047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7A047A" w:rsidRDefault="007A047A" w:rsidP="007A047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7A047A" w:rsidRDefault="007A047A" w:rsidP="007A047A">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7A047A" w:rsidRPr="007A047A" w:rsidRDefault="007A047A" w:rsidP="007A047A">
      <w:pPr>
        <w:pStyle w:val="NormalWeb"/>
        <w:spacing w:before="0" w:beforeAutospacing="0" w:after="0" w:line="276" w:lineRule="auto"/>
        <w:ind w:left="851"/>
        <w:jc w:val="both"/>
        <w:rPr>
          <w:rFonts w:eastAsiaTheme="minorHAnsi"/>
        </w:rPr>
      </w:pPr>
    </w:p>
    <w:p w:rsidR="007A047A" w:rsidRPr="00E12E66" w:rsidRDefault="007A047A" w:rsidP="007A047A">
      <w:pPr>
        <w:numPr>
          <w:ilvl w:val="0"/>
          <w:numId w:val="14"/>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
          <w:bCs/>
          <w:sz w:val="24"/>
          <w:szCs w:val="24"/>
          <w:lang w:val="es-ES_tradnl"/>
        </w:rPr>
        <w:t>Compra de Pliego</w:t>
      </w:r>
      <w:r w:rsidRPr="00E12E66">
        <w:rPr>
          <w:rFonts w:ascii="Times New Roman" w:hAnsi="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bCs/>
          <w:sz w:val="24"/>
          <w:szCs w:val="24"/>
          <w:lang w:val="es-ES_tradnl"/>
        </w:rPr>
        <w:t xml:space="preserve"> N°1</w:t>
      </w:r>
      <w:r w:rsidRPr="00E12E66">
        <w:rPr>
          <w:rFonts w:ascii="Times New Roman" w:hAnsi="Times New Roman"/>
          <w:bCs/>
          <w:sz w:val="24"/>
          <w:szCs w:val="24"/>
          <w:lang w:val="es-ES_tradnl"/>
        </w:rPr>
        <w:t xml:space="preserve"> con la Documentación solicitada </w:t>
      </w:r>
    </w:p>
    <w:p w:rsidR="007A047A" w:rsidRPr="00E12E66" w:rsidRDefault="007A047A" w:rsidP="007A047A">
      <w:pPr>
        <w:suppressAutoHyphens/>
        <w:spacing w:after="120"/>
        <w:ind w:left="851"/>
        <w:jc w:val="both"/>
        <w:rPr>
          <w:rFonts w:ascii="Times New Roman" w:hAnsi="Times New Roman"/>
          <w:bCs/>
          <w:sz w:val="24"/>
          <w:szCs w:val="24"/>
          <w:lang w:val="es-ES_tradnl"/>
        </w:rPr>
      </w:pPr>
      <w:r w:rsidRPr="00E12E66">
        <w:rPr>
          <w:rFonts w:ascii="Times New Roman" w:hAnsi="Times New Roman"/>
          <w:bCs/>
          <w:sz w:val="24"/>
          <w:szCs w:val="24"/>
          <w:lang w:val="es-ES_tradnl"/>
        </w:rPr>
        <w:t>En caso de realizar la adquisición del presente mediante transferencia bancaria la misma debe</w:t>
      </w:r>
      <w:r>
        <w:rPr>
          <w:rFonts w:ascii="Times New Roman" w:hAnsi="Times New Roman"/>
          <w:bCs/>
          <w:sz w:val="24"/>
          <w:szCs w:val="24"/>
          <w:lang w:val="es-ES_tradnl"/>
        </w:rPr>
        <w:t>rá ser verificada en el Departamento</w:t>
      </w:r>
      <w:r w:rsidRPr="00E12E66">
        <w:rPr>
          <w:rFonts w:ascii="Times New Roman" w:hAnsi="Times New Roman"/>
          <w:bCs/>
          <w:sz w:val="24"/>
          <w:szCs w:val="24"/>
          <w:lang w:val="es-ES_tradnl"/>
        </w:rPr>
        <w:t xml:space="preserve"> Tesorería de este Ministerio previo a su </w:t>
      </w:r>
      <w:r>
        <w:rPr>
          <w:rFonts w:ascii="Times New Roman" w:hAnsi="Times New Roman"/>
          <w:bCs/>
          <w:sz w:val="24"/>
          <w:szCs w:val="24"/>
          <w:lang w:val="es-ES_tradnl"/>
        </w:rPr>
        <w:t>incorporación al Sobre N° 1 de D</w:t>
      </w:r>
      <w:r w:rsidRPr="00E12E66">
        <w:rPr>
          <w:rFonts w:ascii="Times New Roman" w:hAnsi="Times New Roman"/>
          <w:bCs/>
          <w:sz w:val="24"/>
          <w:szCs w:val="24"/>
          <w:lang w:val="es-ES_tradnl"/>
        </w:rPr>
        <w:t>ocumentación.</w:t>
      </w:r>
    </w:p>
    <w:p w:rsidR="007A047A" w:rsidRPr="00FD5A42" w:rsidRDefault="007A047A" w:rsidP="007A047A">
      <w:pPr>
        <w:widowControl w:val="0"/>
        <w:numPr>
          <w:ilvl w:val="0"/>
          <w:numId w:val="14"/>
        </w:numPr>
        <w:suppressAutoHyphens/>
        <w:spacing w:after="0" w:line="240" w:lineRule="auto"/>
        <w:ind w:left="851" w:hanging="357"/>
        <w:jc w:val="both"/>
        <w:rPr>
          <w:rFonts w:ascii="Times New Roman" w:hAnsi="Times New Roman"/>
          <w:bCs/>
          <w:sz w:val="24"/>
          <w:szCs w:val="24"/>
          <w:lang w:val="es-ES_tradnl"/>
        </w:rPr>
      </w:pPr>
      <w:r w:rsidRPr="00E12E66">
        <w:rPr>
          <w:rFonts w:ascii="Times New Roman" w:hAnsi="Times New Roman"/>
          <w:b/>
          <w:bCs/>
          <w:sz w:val="24"/>
          <w:szCs w:val="24"/>
          <w:lang w:val="es-ES_tradnl"/>
        </w:rPr>
        <w:t>Mantenimiento de Oferta</w:t>
      </w:r>
      <w:r w:rsidRPr="00E12E66">
        <w:rPr>
          <w:rFonts w:ascii="Times New Roman" w:hAnsi="Times New Roman"/>
          <w:bCs/>
          <w:sz w:val="24"/>
          <w:szCs w:val="24"/>
          <w:lang w:val="es-ES_tradnl"/>
        </w:rPr>
        <w:t xml:space="preserve">: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w:t>
      </w:r>
      <w:r w:rsidRPr="00E12E66">
        <w:rPr>
          <w:rFonts w:ascii="Times New Roman" w:hAnsi="Times New Roman"/>
          <w:bCs/>
          <w:sz w:val="24"/>
          <w:szCs w:val="24"/>
          <w:lang w:val="es-ES_tradnl"/>
        </w:rPr>
        <w:lastRenderedPageBreak/>
        <w:t>puede ser agregada con la documentación en el Sobre</w:t>
      </w:r>
      <w:r>
        <w:rPr>
          <w:rFonts w:ascii="Times New Roman" w:hAnsi="Times New Roman"/>
          <w:bCs/>
          <w:sz w:val="24"/>
          <w:szCs w:val="24"/>
          <w:lang w:val="es-ES_tradnl"/>
        </w:rPr>
        <w:t xml:space="preserve"> N°</w:t>
      </w:r>
      <w:r w:rsidRPr="00E12E66">
        <w:rPr>
          <w:rFonts w:ascii="Times New Roman" w:hAnsi="Times New Roman"/>
          <w:bCs/>
          <w:sz w:val="24"/>
          <w:szCs w:val="24"/>
          <w:lang w:val="es-ES_tradnl"/>
        </w:rPr>
        <w:t xml:space="preserve"> 1 (Uno) o en</w:t>
      </w:r>
      <w:r>
        <w:rPr>
          <w:rFonts w:ascii="Times New Roman" w:hAnsi="Times New Roman"/>
          <w:bCs/>
          <w:sz w:val="24"/>
          <w:szCs w:val="24"/>
          <w:lang w:val="es-ES_tradnl"/>
        </w:rPr>
        <w:t xml:space="preserve"> el Sobre N° 2</w:t>
      </w:r>
      <w:r w:rsidRPr="00E12E66">
        <w:rPr>
          <w:rFonts w:ascii="Times New Roman" w:hAnsi="Times New Roman"/>
          <w:bCs/>
          <w:sz w:val="24"/>
          <w:szCs w:val="24"/>
          <w:lang w:val="es-ES_tradnl"/>
        </w:rPr>
        <w:t xml:space="preserve"> </w:t>
      </w:r>
      <w:r>
        <w:rPr>
          <w:rFonts w:ascii="Times New Roman" w:hAnsi="Times New Roman"/>
          <w:bCs/>
          <w:sz w:val="24"/>
          <w:szCs w:val="24"/>
          <w:lang w:val="es-ES_tradnl"/>
        </w:rPr>
        <w:t xml:space="preserve">con </w:t>
      </w:r>
      <w:r w:rsidRPr="00FD5A42">
        <w:rPr>
          <w:rFonts w:ascii="Times New Roman" w:hAnsi="Times New Roman"/>
          <w:bCs/>
          <w:sz w:val="24"/>
          <w:szCs w:val="24"/>
          <w:lang w:val="es-ES_tradnl"/>
        </w:rPr>
        <w:t>la Oferta Económica.</w:t>
      </w:r>
    </w:p>
    <w:p w:rsidR="007A047A" w:rsidRPr="00FD5A42" w:rsidRDefault="007A047A" w:rsidP="007A047A">
      <w:pPr>
        <w:widowControl w:val="0"/>
        <w:ind w:left="851"/>
        <w:jc w:val="both"/>
        <w:rPr>
          <w:rFonts w:ascii="Times New Roman" w:hAnsi="Times New Roman"/>
          <w:bCs/>
          <w:sz w:val="24"/>
          <w:szCs w:val="24"/>
          <w:lang w:val="es-ES_tradnl"/>
        </w:rPr>
      </w:pPr>
      <w:r w:rsidRPr="00FD5A42">
        <w:rPr>
          <w:rFonts w:ascii="Times New Roman" w:hAnsi="Times New Roman"/>
          <w:bCs/>
          <w:sz w:val="24"/>
          <w:szCs w:val="24"/>
          <w:lang w:val="es-ES_tradnl"/>
        </w:rPr>
        <w:t xml:space="preserve">El aviso de retiro de la propuesta deberá hacerse en todos los casos en forma fehaciente y con un máximo de Cinco (5) días hábiles posteriores a la fecha de apertura. </w:t>
      </w:r>
    </w:p>
    <w:p w:rsidR="007A047A" w:rsidRPr="007A047A" w:rsidRDefault="007A047A" w:rsidP="007A047A">
      <w:pPr>
        <w:widowControl w:val="0"/>
        <w:jc w:val="both"/>
        <w:rPr>
          <w:rFonts w:ascii="Times New Roman" w:hAnsi="Times New Roman"/>
          <w:bCs/>
          <w:sz w:val="24"/>
          <w:szCs w:val="24"/>
          <w:u w:val="single"/>
          <w:lang w:val="es-ES_tradnl"/>
        </w:rPr>
      </w:pPr>
      <w:r w:rsidRPr="00FD5A42">
        <w:rPr>
          <w:rFonts w:ascii="Times New Roman" w:hAnsi="Times New Roman"/>
          <w:bCs/>
          <w:sz w:val="24"/>
          <w:szCs w:val="24"/>
          <w:lang w:val="es-ES_tradnl"/>
        </w:rPr>
        <w:t xml:space="preserve">     14. </w:t>
      </w:r>
      <w:r w:rsidRPr="00FD5A42">
        <w:rPr>
          <w:rFonts w:ascii="Times New Roman" w:hAnsi="Times New Roman"/>
          <w:bCs/>
          <w:sz w:val="24"/>
          <w:szCs w:val="24"/>
          <w:u w:val="single"/>
          <w:lang w:val="es-ES_tradnl"/>
        </w:rPr>
        <w:t>Documentación Específica para adquisición de Muebles y Equipamiento Informático</w:t>
      </w:r>
    </w:p>
    <w:p w:rsidR="007A047A" w:rsidRPr="00FD5A42" w:rsidRDefault="007A047A" w:rsidP="007A047A">
      <w:pPr>
        <w:widowControl w:val="0"/>
        <w:suppressAutoHyphens/>
        <w:ind w:left="851"/>
        <w:jc w:val="both"/>
        <w:rPr>
          <w:rFonts w:ascii="Times New Roman" w:hAnsi="Times New Roman"/>
          <w:bCs/>
          <w:sz w:val="24"/>
          <w:szCs w:val="24"/>
          <w:lang w:val="es-ES_tradnl"/>
        </w:rPr>
      </w:pPr>
      <w:r w:rsidRPr="00FD5A42">
        <w:rPr>
          <w:rFonts w:ascii="Times New Roman" w:hAnsi="Times New Roman"/>
          <w:b/>
          <w:bCs/>
          <w:sz w:val="24"/>
          <w:szCs w:val="24"/>
          <w:lang w:val="es-ES_tradnl"/>
        </w:rPr>
        <w:t>Garantía</w:t>
      </w:r>
      <w:r w:rsidRPr="00FD5A42">
        <w:rPr>
          <w:rFonts w:ascii="Times New Roman" w:hAnsi="Times New Roman"/>
          <w:bCs/>
          <w:sz w:val="24"/>
          <w:szCs w:val="24"/>
          <w:lang w:val="es-ES_tradnl"/>
        </w:rPr>
        <w:t>: El oferente debe adjuntar, en carácter de declaración jurada, una garantía escrita de los bienes ofertados, Servicio Técnico y la Provisión de Repuestos en caso de reemplazo de piezas o parte de las mismas, por un término no inferior a doce (12) meses, detallando dirección y datos de contactos para este fin.</w:t>
      </w:r>
    </w:p>
    <w:p w:rsidR="007A047A" w:rsidRPr="007D34C3" w:rsidRDefault="007A047A" w:rsidP="007A047A">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7A047A" w:rsidRDefault="007A047A" w:rsidP="007A047A">
      <w:pPr>
        <w:widowControl w:val="0"/>
        <w:numPr>
          <w:ilvl w:val="0"/>
          <w:numId w:val="13"/>
        </w:numPr>
        <w:spacing w:after="0" w:line="240" w:lineRule="auto"/>
        <w:ind w:left="426"/>
        <w:jc w:val="both"/>
        <w:rPr>
          <w:rFonts w:ascii="Times New Roman" w:hAnsi="Times New Roman"/>
          <w:bCs/>
          <w:sz w:val="24"/>
          <w:szCs w:val="24"/>
          <w:lang w:val="es-ES_tradnl"/>
        </w:rPr>
      </w:pPr>
      <w:r w:rsidRPr="001E7EBE">
        <w:rPr>
          <w:rFonts w:ascii="Times New Roman" w:hAnsi="Times New Roman"/>
          <w:b/>
          <w:bCs/>
          <w:sz w:val="24"/>
          <w:szCs w:val="24"/>
          <w:lang w:val="es-ES_tradnl"/>
        </w:rPr>
        <w:t>En el Sobre N° 2</w:t>
      </w:r>
      <w:r w:rsidRPr="001E7EBE">
        <w:rPr>
          <w:rFonts w:ascii="Times New Roman" w:hAnsi="Times New Roman"/>
          <w:bCs/>
          <w:sz w:val="24"/>
          <w:szCs w:val="24"/>
          <w:lang w:val="es-ES_tradnl"/>
        </w:rPr>
        <w:t xml:space="preserve"> se deberá incorporar la </w:t>
      </w:r>
      <w:r>
        <w:rPr>
          <w:rFonts w:ascii="Times New Roman" w:hAnsi="Times New Roman"/>
          <w:bCs/>
          <w:sz w:val="24"/>
          <w:szCs w:val="24"/>
          <w:lang w:val="es-ES_tradnl"/>
        </w:rPr>
        <w:t>Oferta Económica Principal y</w:t>
      </w:r>
      <w:r w:rsidRPr="001E7EBE">
        <w:rPr>
          <w:rFonts w:ascii="Times New Roman" w:hAnsi="Times New Roman"/>
          <w:bCs/>
          <w:sz w:val="24"/>
          <w:szCs w:val="24"/>
          <w:lang w:val="es-ES_tradnl"/>
        </w:rPr>
        <w:t xml:space="preserve"> el</w:t>
      </w:r>
      <w:r>
        <w:rPr>
          <w:rFonts w:ascii="Times New Roman" w:hAnsi="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bCs/>
          <w:sz w:val="24"/>
          <w:szCs w:val="24"/>
          <w:lang w:val="es-ES_tradnl"/>
        </w:rPr>
        <w:t>.</w:t>
      </w:r>
    </w:p>
    <w:p w:rsidR="007A047A" w:rsidRDefault="007A047A" w:rsidP="007A047A">
      <w:pPr>
        <w:widowControl w:val="0"/>
        <w:ind w:left="426"/>
        <w:jc w:val="both"/>
        <w:rPr>
          <w:rFonts w:ascii="Times New Roman" w:hAnsi="Times New Roman"/>
          <w:bCs/>
          <w:sz w:val="24"/>
          <w:szCs w:val="24"/>
          <w:lang w:val="es-ES_tradnl"/>
        </w:rPr>
      </w:pPr>
      <w:r>
        <w:rPr>
          <w:rFonts w:ascii="Times New Roman" w:hAnsi="Times New Roman"/>
          <w:bCs/>
          <w:sz w:val="24"/>
          <w:szCs w:val="24"/>
          <w:lang w:val="es-ES_tradnl"/>
        </w:rPr>
        <w:t xml:space="preserve"> </w:t>
      </w:r>
    </w:p>
    <w:p w:rsidR="007A047A" w:rsidRDefault="007A047A" w:rsidP="007A047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7A047A" w:rsidRDefault="007A047A" w:rsidP="007A047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7A047A" w:rsidRPr="00291346" w:rsidRDefault="007A047A" w:rsidP="007A047A">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7A047A" w:rsidRPr="001E7EBE" w:rsidRDefault="007A047A" w:rsidP="007A047A">
      <w:pPr>
        <w:numPr>
          <w:ilvl w:val="0"/>
          <w:numId w:val="10"/>
        </w:numPr>
        <w:suppressAutoHyphens/>
        <w:spacing w:after="0" w:line="240" w:lineRule="auto"/>
        <w:ind w:left="993"/>
        <w:jc w:val="both"/>
        <w:rPr>
          <w:rFonts w:ascii="Times New Roman" w:hAnsi="Times New Roman"/>
          <w:bCs/>
          <w:sz w:val="24"/>
          <w:szCs w:val="24"/>
          <w:lang w:val="es-ES_tradnl"/>
        </w:rPr>
      </w:pPr>
      <w:r w:rsidRPr="001E7EBE">
        <w:rPr>
          <w:rFonts w:ascii="Times New Roman" w:hAnsi="Times New Roman"/>
          <w:bCs/>
          <w:sz w:val="24"/>
          <w:szCs w:val="24"/>
          <w:lang w:val="es-ES_tradnl"/>
        </w:rPr>
        <w:t xml:space="preserve">En </w:t>
      </w:r>
      <w:r>
        <w:rPr>
          <w:rFonts w:ascii="Times New Roman" w:hAnsi="Times New Roman"/>
          <w:bCs/>
          <w:sz w:val="24"/>
          <w:szCs w:val="24"/>
          <w:lang w:val="es-ES_tradnl"/>
        </w:rPr>
        <w:t>P</w:t>
      </w:r>
      <w:r w:rsidRPr="001E7EBE">
        <w:rPr>
          <w:rFonts w:ascii="Times New Roman" w:hAnsi="Times New Roman"/>
          <w:bCs/>
          <w:sz w:val="24"/>
          <w:szCs w:val="24"/>
          <w:lang w:val="es-ES_tradnl"/>
        </w:rPr>
        <w:t>esos, escrito en Números y</w:t>
      </w:r>
      <w:r>
        <w:rPr>
          <w:rFonts w:ascii="Times New Roman" w:hAnsi="Times New Roman"/>
          <w:bCs/>
          <w:sz w:val="24"/>
          <w:szCs w:val="24"/>
          <w:lang w:val="es-ES_tradnl"/>
        </w:rPr>
        <w:t xml:space="preserve"> el total general ofertado expresado en números y l</w:t>
      </w:r>
      <w:r w:rsidRPr="001E7EBE">
        <w:rPr>
          <w:rFonts w:ascii="Times New Roman" w:hAnsi="Times New Roman"/>
          <w:bCs/>
          <w:sz w:val="24"/>
          <w:szCs w:val="24"/>
          <w:lang w:val="es-ES_tradnl"/>
        </w:rPr>
        <w:t>etras.</w:t>
      </w:r>
    </w:p>
    <w:p w:rsidR="007A047A" w:rsidRPr="001E7EBE" w:rsidRDefault="007A047A" w:rsidP="007A047A">
      <w:pPr>
        <w:numPr>
          <w:ilvl w:val="0"/>
          <w:numId w:val="10"/>
        </w:numPr>
        <w:suppressAutoHyphens/>
        <w:spacing w:after="0" w:afterAutospacing="1" w:line="240" w:lineRule="auto"/>
        <w:ind w:left="993"/>
        <w:jc w:val="both"/>
        <w:rPr>
          <w:rFonts w:ascii="Times New Roman" w:hAnsi="Times New Roman"/>
          <w:bCs/>
          <w:sz w:val="24"/>
          <w:szCs w:val="24"/>
          <w:lang w:val="es-ES_tradnl"/>
        </w:rPr>
      </w:pPr>
      <w:r w:rsidRPr="001E7EBE">
        <w:rPr>
          <w:rFonts w:ascii="Times New Roman" w:hAnsi="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7A047A" w:rsidRPr="001E7EBE" w:rsidRDefault="007A047A" w:rsidP="007A047A">
      <w:pPr>
        <w:numPr>
          <w:ilvl w:val="0"/>
          <w:numId w:val="10"/>
        </w:numPr>
        <w:suppressAutoHyphens/>
        <w:spacing w:after="0" w:afterAutospacing="1" w:line="240" w:lineRule="auto"/>
        <w:ind w:left="993"/>
        <w:jc w:val="both"/>
        <w:rPr>
          <w:rFonts w:ascii="Times New Roman" w:hAnsi="Times New Roman"/>
          <w:bCs/>
          <w:sz w:val="24"/>
          <w:szCs w:val="24"/>
          <w:lang w:val="es-ES_tradnl"/>
        </w:rPr>
      </w:pPr>
      <w:r w:rsidRPr="001E7EBE">
        <w:rPr>
          <w:rFonts w:ascii="Times New Roman" w:hAnsi="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bCs/>
          <w:sz w:val="24"/>
          <w:szCs w:val="24"/>
          <w:lang w:val="es-ES_tradnl"/>
        </w:rPr>
        <w:t>y hacerlo en sobre separado</w:t>
      </w:r>
      <w:r w:rsidRPr="001E7EBE">
        <w:rPr>
          <w:rFonts w:ascii="Times New Roman" w:hAnsi="Times New Roman"/>
          <w:bCs/>
          <w:sz w:val="24"/>
          <w:szCs w:val="24"/>
          <w:lang w:val="es-ES_tradnl"/>
        </w:rPr>
        <w:t>. Deberá individualizar el proceso y presentar por duplicado la oferta. En el caso de que la com</w:t>
      </w:r>
      <w:r>
        <w:rPr>
          <w:rFonts w:ascii="Times New Roman" w:hAnsi="Times New Roman"/>
          <w:bCs/>
          <w:sz w:val="24"/>
          <w:szCs w:val="24"/>
          <w:lang w:val="es-ES_tradnl"/>
        </w:rPr>
        <w:t>pra sea realizada en lotes, esta</w:t>
      </w:r>
      <w:r w:rsidRPr="001E7EBE">
        <w:rPr>
          <w:rFonts w:ascii="Times New Roman" w:hAnsi="Times New Roman"/>
          <w:bCs/>
          <w:sz w:val="24"/>
          <w:szCs w:val="24"/>
          <w:lang w:val="es-ES_tradnl"/>
        </w:rPr>
        <w:t xml:space="preserve"> será la unidad mínima de cotización y adjudicación.</w:t>
      </w:r>
    </w:p>
    <w:p w:rsidR="007A047A" w:rsidRPr="00FD5A42" w:rsidRDefault="007A047A" w:rsidP="007A047A">
      <w:pPr>
        <w:numPr>
          <w:ilvl w:val="0"/>
          <w:numId w:val="15"/>
        </w:numPr>
        <w:spacing w:after="100" w:afterAutospacing="1" w:line="240" w:lineRule="auto"/>
        <w:ind w:left="720" w:hanging="720"/>
        <w:jc w:val="both"/>
        <w:rPr>
          <w:rFonts w:ascii="Times New Roman" w:hAnsi="Times New Roman"/>
          <w:bCs/>
          <w:sz w:val="24"/>
          <w:szCs w:val="24"/>
          <w:lang w:val="es-ES_tradnl"/>
        </w:rPr>
      </w:pPr>
      <w:r w:rsidRPr="00012FC5">
        <w:rPr>
          <w:rFonts w:ascii="Times New Roman" w:hAnsi="Times New Roman"/>
          <w:b/>
          <w:bCs/>
          <w:sz w:val="24"/>
          <w:szCs w:val="24"/>
          <w:lang w:val="es-ES_tradnl"/>
        </w:rPr>
        <w:t>Rechazo Automático</w:t>
      </w:r>
      <w:r w:rsidRPr="00012FC5">
        <w:rPr>
          <w:rFonts w:ascii="Times New Roman" w:hAnsi="Times New Roman"/>
          <w:bCs/>
          <w:sz w:val="24"/>
          <w:szCs w:val="24"/>
          <w:lang w:val="es-ES_tradnl"/>
        </w:rPr>
        <w:t>:</w:t>
      </w:r>
    </w:p>
    <w:p w:rsidR="007A047A" w:rsidRPr="00012FC5" w:rsidRDefault="007A047A" w:rsidP="007A047A">
      <w:pPr>
        <w:spacing w:after="100" w:afterAutospacing="1"/>
        <w:jc w:val="both"/>
        <w:rPr>
          <w:rFonts w:ascii="Times New Roman" w:hAnsi="Times New Roman"/>
          <w:bCs/>
          <w:sz w:val="24"/>
          <w:szCs w:val="24"/>
          <w:lang w:val="es-ES_tradnl"/>
        </w:rPr>
      </w:pPr>
      <w:r w:rsidRPr="00FD5A42">
        <w:rPr>
          <w:rFonts w:ascii="Times New Roman" w:hAnsi="Times New Roman"/>
          <w:bCs/>
          <w:sz w:val="24"/>
          <w:szCs w:val="24"/>
          <w:lang w:val="es-ES_tradnl"/>
        </w:rPr>
        <w:t>La forma de presentación  de la Propuesta del Articulo N° 1, los requisitos establecidos en el artículo 1°, punto A  en los incisos 1, 2, 4, 5, 6, 7, 8, 10, 11, 12, 13, 14 y lo</w:t>
      </w:r>
      <w:r w:rsidRPr="00012FC5">
        <w:rPr>
          <w:rFonts w:ascii="Times New Roman" w:hAnsi="Times New Roman"/>
          <w:bCs/>
          <w:sz w:val="24"/>
          <w:szCs w:val="24"/>
          <w:lang w:val="es-ES_tradnl"/>
        </w:rPr>
        <w:t xml:space="preserve">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7A047A" w:rsidRPr="00935073" w:rsidRDefault="007A047A" w:rsidP="007A047A">
      <w:pPr>
        <w:numPr>
          <w:ilvl w:val="0"/>
          <w:numId w:val="15"/>
        </w:numPr>
        <w:spacing w:after="100" w:afterAutospacing="1" w:line="240" w:lineRule="auto"/>
        <w:ind w:left="720" w:hanging="720"/>
        <w:jc w:val="both"/>
        <w:rPr>
          <w:rFonts w:ascii="Times New Roman" w:hAnsi="Times New Roman"/>
          <w:b/>
          <w:bCs/>
          <w:sz w:val="24"/>
          <w:szCs w:val="24"/>
          <w:lang w:val="es-ES_tradnl"/>
        </w:rPr>
      </w:pPr>
      <w:r>
        <w:rPr>
          <w:rFonts w:ascii="Times New Roman" w:hAnsi="Times New Roman"/>
          <w:b/>
          <w:bCs/>
          <w:sz w:val="24"/>
          <w:szCs w:val="24"/>
          <w:lang w:val="es-ES_tradnl"/>
        </w:rPr>
        <w:t xml:space="preserve">Disposiciones generales: </w:t>
      </w:r>
    </w:p>
    <w:p w:rsidR="007A047A" w:rsidRPr="001E7EBE" w:rsidRDefault="007A047A" w:rsidP="007A047A">
      <w:pPr>
        <w:widowControl w:val="0"/>
        <w:numPr>
          <w:ilvl w:val="0"/>
          <w:numId w:val="12"/>
        </w:numPr>
        <w:suppressAutoHyphens/>
        <w:spacing w:after="0" w:line="240" w:lineRule="auto"/>
        <w:ind w:left="426" w:right="74"/>
        <w:jc w:val="both"/>
        <w:rPr>
          <w:rFonts w:ascii="Times New Roman" w:hAnsi="Times New Roman"/>
          <w:bCs/>
          <w:sz w:val="24"/>
          <w:szCs w:val="24"/>
          <w:lang w:val="es-ES_tradnl"/>
        </w:rPr>
      </w:pPr>
      <w:r w:rsidRPr="001E7EBE">
        <w:rPr>
          <w:rFonts w:ascii="Times New Roman" w:hAnsi="Times New Roman"/>
          <w:b/>
          <w:bCs/>
          <w:sz w:val="24"/>
          <w:szCs w:val="24"/>
          <w:lang w:val="es-ES_tradnl"/>
        </w:rPr>
        <w:t>Facultades de la Administración</w:t>
      </w:r>
      <w:r w:rsidRPr="001E7EBE">
        <w:rPr>
          <w:rFonts w:ascii="Times New Roman" w:hAnsi="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7A047A" w:rsidRDefault="007A047A" w:rsidP="007A047A">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7A047A" w:rsidRPr="001E7EBE" w:rsidRDefault="007A047A" w:rsidP="007A047A">
      <w:pPr>
        <w:pStyle w:val="NormalWeb"/>
        <w:spacing w:before="0" w:beforeAutospacing="0" w:after="0"/>
        <w:ind w:left="426"/>
        <w:jc w:val="both"/>
        <w:rPr>
          <w:rFonts w:eastAsiaTheme="minorHAnsi"/>
          <w:bCs/>
          <w:lang w:val="es-ES_tradnl" w:eastAsia="en-US"/>
        </w:rPr>
      </w:pPr>
    </w:p>
    <w:p w:rsidR="007A047A" w:rsidRDefault="007A047A" w:rsidP="007A047A">
      <w:pPr>
        <w:widowControl w:val="0"/>
        <w:numPr>
          <w:ilvl w:val="0"/>
          <w:numId w:val="12"/>
        </w:numPr>
        <w:suppressAutoHyphens/>
        <w:spacing w:after="0" w:line="240" w:lineRule="auto"/>
        <w:ind w:left="426" w:right="74"/>
        <w:jc w:val="both"/>
        <w:rPr>
          <w:rFonts w:ascii="Times New Roman" w:hAnsi="Times New Roman"/>
          <w:bCs/>
          <w:sz w:val="24"/>
          <w:szCs w:val="24"/>
          <w:lang w:val="es-ES_tradnl"/>
        </w:rPr>
      </w:pPr>
      <w:r w:rsidRPr="001E7EBE">
        <w:rPr>
          <w:rFonts w:ascii="Times New Roman" w:hAnsi="Times New Roman"/>
          <w:b/>
          <w:bCs/>
          <w:sz w:val="24"/>
          <w:szCs w:val="24"/>
          <w:lang w:val="es-ES_tradnl"/>
        </w:rPr>
        <w:lastRenderedPageBreak/>
        <w:t>Impugnaciones</w:t>
      </w:r>
      <w:r w:rsidRPr="001E7EBE">
        <w:rPr>
          <w:rFonts w:ascii="Times New Roman" w:hAnsi="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7A047A" w:rsidRPr="007D34C3" w:rsidRDefault="007A047A" w:rsidP="007A047A">
      <w:pPr>
        <w:widowControl w:val="0"/>
        <w:suppressAutoHyphens/>
        <w:ind w:left="426" w:right="74"/>
        <w:jc w:val="both"/>
        <w:rPr>
          <w:rFonts w:ascii="Times New Roman" w:hAnsi="Times New Roman"/>
          <w:bCs/>
          <w:sz w:val="24"/>
          <w:szCs w:val="24"/>
          <w:lang w:val="es-ES_tradnl"/>
        </w:rPr>
      </w:pPr>
    </w:p>
    <w:p w:rsidR="007A047A" w:rsidRPr="001E7EBE" w:rsidRDefault="007A047A" w:rsidP="007A047A">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7A047A" w:rsidRPr="001E7EBE" w:rsidRDefault="007A047A" w:rsidP="007A047A">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7A047A" w:rsidRPr="001E7EBE" w:rsidRDefault="007A047A" w:rsidP="007A047A">
      <w:pPr>
        <w:pStyle w:val="NormalWeb"/>
        <w:spacing w:before="0" w:beforeAutospacing="0" w:after="0"/>
        <w:ind w:left="426"/>
        <w:jc w:val="both"/>
        <w:rPr>
          <w:rFonts w:eastAsiaTheme="minorHAnsi"/>
          <w:b/>
          <w:bCs/>
          <w:lang w:val="es-ES_tradnl" w:eastAsia="en-US"/>
        </w:rPr>
      </w:pPr>
    </w:p>
    <w:p w:rsidR="007A047A" w:rsidRDefault="007A047A" w:rsidP="007A047A">
      <w:pPr>
        <w:numPr>
          <w:ilvl w:val="0"/>
          <w:numId w:val="12"/>
        </w:numPr>
        <w:suppressAutoHyphens/>
        <w:spacing w:after="0" w:line="240" w:lineRule="auto"/>
        <w:ind w:left="426"/>
        <w:jc w:val="both"/>
        <w:rPr>
          <w:rFonts w:ascii="Times New Roman" w:hAnsi="Times New Roman"/>
          <w:bCs/>
          <w:sz w:val="24"/>
          <w:szCs w:val="24"/>
          <w:lang w:val="es-ES_tradnl"/>
        </w:rPr>
      </w:pPr>
      <w:r w:rsidRPr="001E7EBE">
        <w:rPr>
          <w:rFonts w:ascii="Times New Roman" w:hAnsi="Times New Roman"/>
          <w:b/>
          <w:bCs/>
          <w:sz w:val="24"/>
          <w:szCs w:val="24"/>
          <w:lang w:val="es-ES_tradnl"/>
        </w:rPr>
        <w:t>Notificaciones</w:t>
      </w:r>
      <w:r w:rsidRPr="001E7EBE">
        <w:rPr>
          <w:rFonts w:ascii="Times New Roman" w:hAnsi="Times New Roman"/>
          <w:bCs/>
          <w:sz w:val="24"/>
          <w:szCs w:val="24"/>
          <w:lang w:val="es-ES_tradnl"/>
        </w:rPr>
        <w:t xml:space="preserve">: Las notificaciones se realizarán personalmente por el Oferente en la Oficina de </w:t>
      </w:r>
      <w:r>
        <w:rPr>
          <w:rFonts w:ascii="Times New Roman" w:hAnsi="Times New Roman"/>
          <w:bCs/>
          <w:sz w:val="24"/>
          <w:szCs w:val="24"/>
          <w:lang w:val="es-ES_tradnl"/>
        </w:rPr>
        <w:t>Departamento</w:t>
      </w:r>
      <w:r w:rsidRPr="001E7EBE">
        <w:rPr>
          <w:rFonts w:ascii="Times New Roman" w:hAnsi="Times New Roman"/>
          <w:bCs/>
          <w:sz w:val="24"/>
          <w:szCs w:val="24"/>
          <w:lang w:val="es-ES_tradnl"/>
        </w:rPr>
        <w:t xml:space="preserve"> Compras del Ministerio de Salud Pública o en el domicilio constituido por parte del oferente, y se considerarán válidas se encuentre o no presente en el mismo.- </w:t>
      </w:r>
    </w:p>
    <w:p w:rsidR="007A047A" w:rsidRDefault="007A047A" w:rsidP="007A047A">
      <w:pPr>
        <w:suppressAutoHyphens/>
        <w:ind w:left="426"/>
        <w:jc w:val="both"/>
        <w:rPr>
          <w:rFonts w:ascii="Times New Roman" w:hAnsi="Times New Roman"/>
          <w:bCs/>
          <w:sz w:val="24"/>
          <w:szCs w:val="24"/>
          <w:lang w:val="es-ES_tradnl"/>
        </w:rPr>
      </w:pPr>
    </w:p>
    <w:p w:rsidR="007A047A" w:rsidRDefault="007A047A" w:rsidP="007A047A">
      <w:pPr>
        <w:numPr>
          <w:ilvl w:val="0"/>
          <w:numId w:val="12"/>
        </w:numPr>
        <w:suppressAutoHyphens/>
        <w:spacing w:after="0" w:line="240" w:lineRule="auto"/>
        <w:ind w:left="426"/>
        <w:jc w:val="both"/>
        <w:rPr>
          <w:rFonts w:ascii="Times New Roman" w:hAnsi="Times New Roman"/>
          <w:bCs/>
          <w:sz w:val="24"/>
          <w:szCs w:val="24"/>
          <w:lang w:val="es-ES_tradnl"/>
        </w:rPr>
      </w:pPr>
      <w:r w:rsidRPr="00605C88">
        <w:rPr>
          <w:rFonts w:ascii="Times New Roman" w:hAnsi="Times New Roman"/>
          <w:b/>
          <w:bCs/>
          <w:sz w:val="24"/>
          <w:szCs w:val="24"/>
          <w:lang w:val="es-ES_tradnl"/>
        </w:rPr>
        <w:t>Garantía de Adjudicación</w:t>
      </w:r>
      <w:r w:rsidRPr="00605C88">
        <w:rPr>
          <w:rFonts w:ascii="Times New Roman" w:hAnsi="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7A047A" w:rsidRPr="00605C88" w:rsidRDefault="007A047A" w:rsidP="007A047A">
      <w:pPr>
        <w:suppressAutoHyphens/>
        <w:jc w:val="both"/>
        <w:rPr>
          <w:rFonts w:ascii="Times New Roman" w:hAnsi="Times New Roman"/>
          <w:bCs/>
          <w:sz w:val="24"/>
          <w:szCs w:val="24"/>
          <w:lang w:val="es-ES_tradnl"/>
        </w:rPr>
      </w:pPr>
    </w:p>
    <w:p w:rsidR="007A047A" w:rsidRPr="00031FA6" w:rsidRDefault="007A047A" w:rsidP="007A047A">
      <w:pPr>
        <w:ind w:left="425"/>
        <w:jc w:val="both"/>
        <w:rPr>
          <w:rFonts w:ascii="Times New Roman" w:hAnsi="Times New Roman"/>
          <w:bCs/>
          <w:sz w:val="24"/>
          <w:szCs w:val="24"/>
          <w:u w:val="single"/>
          <w:lang w:val="es-ES_tradnl"/>
        </w:rPr>
      </w:pPr>
      <w:r>
        <w:rPr>
          <w:rFonts w:ascii="Times New Roman" w:hAnsi="Times New Roman"/>
          <w:bCs/>
          <w:sz w:val="24"/>
          <w:szCs w:val="24"/>
          <w:lang w:val="es-ES_tradnl"/>
        </w:rPr>
        <w:t xml:space="preserve">a) </w:t>
      </w:r>
      <w:r w:rsidRPr="00031FA6">
        <w:rPr>
          <w:rFonts w:ascii="Times New Roman" w:hAnsi="Times New Roman"/>
          <w:bCs/>
          <w:sz w:val="24"/>
          <w:szCs w:val="24"/>
          <w:u w:val="single"/>
          <w:lang w:val="es-ES_tradnl"/>
        </w:rPr>
        <w:t>Títulos aforados a su valor nominal de la deuda pública Provincial o Nacional.</w:t>
      </w:r>
    </w:p>
    <w:p w:rsidR="007A047A" w:rsidRDefault="007A047A" w:rsidP="007A047A">
      <w:pPr>
        <w:ind w:left="425"/>
        <w:jc w:val="both"/>
        <w:rPr>
          <w:rFonts w:ascii="Times New Roman" w:hAnsi="Times New Roman"/>
          <w:bCs/>
          <w:sz w:val="24"/>
          <w:szCs w:val="24"/>
          <w:u w:val="single"/>
          <w:lang w:val="es-ES_tradnl"/>
        </w:rPr>
      </w:pPr>
      <w:r>
        <w:rPr>
          <w:rFonts w:ascii="Times New Roman" w:hAnsi="Times New Roman"/>
          <w:bCs/>
          <w:sz w:val="24"/>
          <w:szCs w:val="24"/>
          <w:lang w:val="es-ES_tradnl"/>
        </w:rPr>
        <w:t xml:space="preserve">b) </w:t>
      </w:r>
      <w:r w:rsidRPr="00031FA6">
        <w:rPr>
          <w:rFonts w:ascii="Times New Roman" w:hAnsi="Times New Roman"/>
          <w:bCs/>
          <w:sz w:val="24"/>
          <w:szCs w:val="24"/>
          <w:u w:val="single"/>
          <w:lang w:val="es-ES_tradnl"/>
        </w:rPr>
        <w:t>Aval bancario.</w:t>
      </w:r>
    </w:p>
    <w:p w:rsidR="007A047A" w:rsidRPr="009B610F" w:rsidRDefault="007A047A" w:rsidP="007A047A">
      <w:pPr>
        <w:suppressAutoHyphens/>
        <w:spacing w:after="120"/>
        <w:ind w:left="851" w:hanging="425"/>
        <w:jc w:val="both"/>
        <w:rPr>
          <w:rFonts w:ascii="Times New Roman" w:hAnsi="Times New Roman"/>
          <w:bCs/>
          <w:sz w:val="24"/>
          <w:szCs w:val="24"/>
          <w:lang w:val="es-ES_tradnl"/>
        </w:rPr>
      </w:pPr>
      <w:r>
        <w:rPr>
          <w:rFonts w:ascii="Times New Roman" w:hAnsi="Times New Roman"/>
          <w:bCs/>
          <w:sz w:val="24"/>
          <w:szCs w:val="24"/>
          <w:lang w:val="es-ES_tradnl"/>
        </w:rPr>
        <w:t xml:space="preserve">c) </w:t>
      </w:r>
      <w:r w:rsidRPr="009B610F">
        <w:rPr>
          <w:rFonts w:ascii="Times New Roman" w:hAnsi="Times New Roman"/>
          <w:bCs/>
          <w:sz w:val="24"/>
          <w:szCs w:val="24"/>
          <w:u w:val="single"/>
          <w:lang w:val="es-ES_tradnl"/>
        </w:rPr>
        <w:t>Crédito Bancario:</w:t>
      </w:r>
      <w:r w:rsidRPr="009B610F">
        <w:rPr>
          <w:rFonts w:ascii="Times New Roman" w:hAnsi="Times New Roman"/>
          <w:bCs/>
          <w:sz w:val="24"/>
          <w:szCs w:val="24"/>
          <w:lang w:val="es-ES_tradnl"/>
        </w:rPr>
        <w:t xml:space="preserve"> Con depósito en cuenta N° 600-202956/6 (Garantía de Licitación – Banco San Juan SA). Se pueden realizar de la siguiente manera:</w:t>
      </w:r>
    </w:p>
    <w:p w:rsidR="007A047A" w:rsidRPr="009B610F" w:rsidRDefault="007A047A" w:rsidP="007A047A">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7A047A" w:rsidRPr="009B610F" w:rsidRDefault="007A047A" w:rsidP="007A047A">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 Transferencia Bancaria, debe adjuntar comprobante de transferencia y formulario de nota de la declaración jurada según Circular Conjunta N° 002-OCC-2019 y 001-TGP-2019.</w:t>
      </w:r>
    </w:p>
    <w:p w:rsidR="007A047A" w:rsidRPr="009B610F" w:rsidRDefault="007A047A" w:rsidP="007A047A">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 xml:space="preserve"> “No se admitirá el trámite por auto gestión, por no poderse identificar con el procedimiento que genera su origen” </w:t>
      </w:r>
    </w:p>
    <w:p w:rsidR="007A047A" w:rsidRPr="00C413E3" w:rsidRDefault="007A047A" w:rsidP="007A047A">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El comprobante de la boleta o transferencia deberá ser incluido en el Sobre con la Documentación solicitada.</w:t>
      </w:r>
    </w:p>
    <w:p w:rsidR="007A047A" w:rsidRPr="00E55FF1" w:rsidRDefault="007A047A" w:rsidP="007A047A">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7A047A" w:rsidRPr="00E55FF1" w:rsidRDefault="007A047A" w:rsidP="007A047A">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7A047A" w:rsidRPr="00E55FF1" w:rsidRDefault="007A047A" w:rsidP="007A047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7A047A" w:rsidRPr="00E55FF1" w:rsidRDefault="007A047A" w:rsidP="007A047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7A047A" w:rsidRPr="00E55FF1" w:rsidRDefault="007A047A" w:rsidP="007A047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7A047A" w:rsidRPr="00E55FF1" w:rsidRDefault="007A047A" w:rsidP="007A047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lastRenderedPageBreak/>
        <w:t>Firmado por el oferente, aclarando Nombre, Apellido o denominación de la persona jurídica y Numero de CUIL/CUIT, según corresponda.</w:t>
      </w:r>
    </w:p>
    <w:p w:rsidR="007A047A" w:rsidRPr="00E55FF1" w:rsidRDefault="007A047A" w:rsidP="007A047A">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7A047A" w:rsidRPr="00E55FF1" w:rsidRDefault="007A047A" w:rsidP="007A047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7A047A" w:rsidRPr="00E55FF1" w:rsidRDefault="007A047A" w:rsidP="007A047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7A047A" w:rsidRPr="00E55FF1" w:rsidRDefault="007A047A" w:rsidP="007A047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7A047A" w:rsidRDefault="007A047A" w:rsidP="007A047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7A047A" w:rsidRPr="00E55FF1" w:rsidRDefault="007A047A" w:rsidP="007A047A">
      <w:pPr>
        <w:pStyle w:val="NormalWeb"/>
        <w:spacing w:before="0" w:beforeAutospacing="0" w:after="0" w:line="276" w:lineRule="auto"/>
        <w:ind w:left="851"/>
        <w:jc w:val="both"/>
        <w:rPr>
          <w:rFonts w:eastAsiaTheme="minorHAnsi"/>
          <w:bCs/>
          <w:lang w:val="es-ES_tradnl" w:eastAsia="en-US"/>
        </w:rPr>
      </w:pPr>
    </w:p>
    <w:p w:rsidR="007A047A" w:rsidRPr="00E55FF1" w:rsidRDefault="007A047A" w:rsidP="007A047A">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7A047A" w:rsidRPr="00E55FF1" w:rsidRDefault="007A047A" w:rsidP="007A047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7A047A" w:rsidRPr="00E55FF1" w:rsidRDefault="007A047A" w:rsidP="007A047A">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7A047A" w:rsidRPr="00E55FF1" w:rsidRDefault="007A047A" w:rsidP="007A047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7A047A" w:rsidRPr="00E55FF1" w:rsidRDefault="007A047A" w:rsidP="007A047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7A047A" w:rsidRPr="00E55FF1" w:rsidRDefault="007A047A" w:rsidP="007A047A">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7A047A" w:rsidRPr="00E55FF1" w:rsidRDefault="007A047A" w:rsidP="007A047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7A047A" w:rsidRPr="00E55FF1" w:rsidRDefault="007A047A" w:rsidP="007A047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7A047A" w:rsidRPr="00E55FF1" w:rsidRDefault="007A047A" w:rsidP="007A047A">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7A047A" w:rsidRPr="00D030BB" w:rsidRDefault="007A047A" w:rsidP="007A047A">
      <w:pPr>
        <w:pStyle w:val="NormalWeb"/>
        <w:spacing w:before="0" w:beforeAutospacing="0" w:after="0" w:line="276" w:lineRule="auto"/>
        <w:ind w:left="851"/>
        <w:jc w:val="both"/>
        <w:rPr>
          <w:rFonts w:eastAsiaTheme="minorHAnsi"/>
        </w:rPr>
      </w:pPr>
      <w:r w:rsidRPr="00D030BB">
        <w:rPr>
          <w:rFonts w:eastAsiaTheme="minorHAnsi"/>
          <w:bCs/>
          <w:lang w:val="es-ES_tradnl" w:eastAsia="en-US"/>
        </w:rPr>
        <w:t xml:space="preserve">- </w:t>
      </w:r>
      <w:r w:rsidRPr="00D030BB">
        <w:rPr>
          <w:rFonts w:eastAsiaTheme="minorHAnsi"/>
        </w:rPr>
        <w:t>Certificación de firma del emisor de la póliza, adendas o endosos por el colegio de escribano cuando corresponda a otra jurisdicción distinta de la de provincia de San Juan.</w:t>
      </w:r>
    </w:p>
    <w:p w:rsidR="007A047A" w:rsidRPr="00D030BB" w:rsidRDefault="007A047A" w:rsidP="007A047A">
      <w:pPr>
        <w:suppressAutoHyphens/>
        <w:ind w:left="426"/>
        <w:jc w:val="both"/>
        <w:rPr>
          <w:bCs/>
          <w:lang w:val="es-ES_tradnl"/>
        </w:rPr>
      </w:pPr>
    </w:p>
    <w:p w:rsidR="007A047A" w:rsidRPr="00D030BB" w:rsidRDefault="007A047A" w:rsidP="007A047A">
      <w:pPr>
        <w:pStyle w:val="NormalWeb"/>
        <w:numPr>
          <w:ilvl w:val="0"/>
          <w:numId w:val="12"/>
        </w:numPr>
        <w:spacing w:before="0" w:beforeAutospacing="0" w:after="0"/>
        <w:ind w:left="284"/>
        <w:jc w:val="both"/>
        <w:rPr>
          <w:rFonts w:eastAsiaTheme="minorHAnsi"/>
          <w:bCs/>
          <w:lang w:val="es-ES_tradnl" w:eastAsia="en-US"/>
        </w:rPr>
      </w:pPr>
      <w:r w:rsidRPr="00D030BB">
        <w:rPr>
          <w:rFonts w:eastAsiaTheme="minorHAnsi"/>
          <w:b/>
          <w:bCs/>
          <w:lang w:val="es-ES_tradnl" w:eastAsia="en-US"/>
        </w:rPr>
        <w:t>Sanciones</w:t>
      </w:r>
      <w:r w:rsidRPr="00D030BB">
        <w:rPr>
          <w:rFonts w:eastAsiaTheme="minorHAnsi"/>
          <w:bCs/>
          <w:lang w:val="es-ES_tradnl" w:eastAsia="en-US"/>
        </w:rPr>
        <w:t>:</w:t>
      </w:r>
    </w:p>
    <w:p w:rsidR="007A047A" w:rsidRPr="00D030BB" w:rsidRDefault="007A047A" w:rsidP="007A047A">
      <w:pPr>
        <w:pStyle w:val="NormalWeb"/>
        <w:spacing w:before="0" w:beforeAutospacing="0" w:after="0"/>
        <w:ind w:firstLine="142"/>
        <w:jc w:val="both"/>
        <w:rPr>
          <w:rFonts w:eastAsiaTheme="minorHAnsi"/>
          <w:bCs/>
          <w:lang w:val="es-ES_tradnl" w:eastAsia="en-US"/>
        </w:rPr>
      </w:pPr>
      <w:r w:rsidRPr="00D030BB">
        <w:t>Las causales para aplicar la sanción de Suspensión del Proveedor serán las siguientes:</w:t>
      </w:r>
    </w:p>
    <w:p w:rsidR="007A047A" w:rsidRPr="00D030BB" w:rsidRDefault="007A047A" w:rsidP="007A047A">
      <w:pPr>
        <w:pStyle w:val="NormalWeb"/>
        <w:spacing w:before="0" w:beforeAutospacing="0" w:after="0"/>
        <w:jc w:val="both"/>
        <w:rPr>
          <w:rFonts w:eastAsiaTheme="minorHAnsi"/>
          <w:bCs/>
          <w:lang w:val="es-ES_tradnl" w:eastAsia="en-US"/>
        </w:rPr>
      </w:pPr>
      <w:r w:rsidRPr="00D030BB">
        <w:t xml:space="preserve">1) Causales de Suspensión por el plazo de 180 días: </w:t>
      </w:r>
    </w:p>
    <w:p w:rsidR="007A047A" w:rsidRPr="00D030BB" w:rsidRDefault="007A047A" w:rsidP="007A047A">
      <w:pPr>
        <w:pStyle w:val="NormalWeb"/>
        <w:spacing w:before="0" w:beforeAutospacing="0" w:after="0"/>
        <w:ind w:left="426"/>
        <w:jc w:val="both"/>
      </w:pPr>
      <w:r w:rsidRPr="00D030BB">
        <w:t xml:space="preserve">a) Incumplir en forma total o parcial con la entrega de los bienes o la realización de los servicios. </w:t>
      </w:r>
    </w:p>
    <w:p w:rsidR="007A047A" w:rsidRPr="00D030BB" w:rsidRDefault="007A047A" w:rsidP="007A047A">
      <w:pPr>
        <w:pStyle w:val="NormalWeb"/>
        <w:spacing w:before="0" w:beforeAutospacing="0" w:after="0"/>
        <w:ind w:left="426"/>
        <w:jc w:val="both"/>
      </w:pPr>
      <w:r w:rsidRPr="00D030BB">
        <w:t xml:space="preserve">b) Entregar los bienes o prestar los servicios fuera del término en más de dos oportunidades, dentro del mismo ejercicio. </w:t>
      </w:r>
    </w:p>
    <w:p w:rsidR="007A047A" w:rsidRPr="00D030BB" w:rsidRDefault="007A047A" w:rsidP="007A047A">
      <w:pPr>
        <w:pStyle w:val="NormalWeb"/>
        <w:spacing w:before="0" w:beforeAutospacing="0" w:after="0"/>
        <w:ind w:left="426"/>
        <w:jc w:val="both"/>
      </w:pPr>
      <w:r w:rsidRPr="00D030BB">
        <w:t xml:space="preserve">c) Entregar bienes o prestar servicios que no cumplan los requisitos de especificidad establecidos en la oferta.  </w:t>
      </w:r>
    </w:p>
    <w:p w:rsidR="007A047A" w:rsidRPr="00D030BB" w:rsidRDefault="007A047A" w:rsidP="007A047A">
      <w:pPr>
        <w:pStyle w:val="NormalWeb"/>
        <w:spacing w:before="0" w:beforeAutospacing="0" w:after="0"/>
        <w:ind w:left="-284" w:firstLine="284"/>
        <w:jc w:val="both"/>
      </w:pPr>
      <w:r w:rsidRPr="00D030BB">
        <w:t xml:space="preserve">2) Causales de Inhabilitación Temporaria o Permanente: </w:t>
      </w:r>
    </w:p>
    <w:p w:rsidR="007A047A" w:rsidRPr="00D030BB" w:rsidRDefault="007A047A" w:rsidP="007A047A">
      <w:pPr>
        <w:pStyle w:val="NormalWeb"/>
        <w:spacing w:before="0" w:beforeAutospacing="0" w:after="0"/>
        <w:ind w:left="426"/>
        <w:jc w:val="both"/>
      </w:pPr>
      <w:r w:rsidRPr="00D030BB">
        <w:t xml:space="preserve">a) Se compruebe comisión de hechos dolosos o la gravedad del incumplimiento ocasionare perjuicio irreparable contra la Administración del Ministerio de Salud Pública. </w:t>
      </w:r>
    </w:p>
    <w:p w:rsidR="007A047A" w:rsidRPr="00D030BB" w:rsidRDefault="007A047A" w:rsidP="007A047A">
      <w:pPr>
        <w:pStyle w:val="NormalWeb"/>
        <w:spacing w:before="0" w:beforeAutospacing="0" w:after="0"/>
        <w:ind w:left="426"/>
        <w:jc w:val="both"/>
      </w:pPr>
      <w:r w:rsidRPr="00D030BB">
        <w:t xml:space="preserve">b) Se compruebe conductas graves que atenten contra el medio ambiente. </w:t>
      </w:r>
    </w:p>
    <w:p w:rsidR="007A047A" w:rsidRPr="00D030BB" w:rsidRDefault="007A047A" w:rsidP="007A047A">
      <w:pPr>
        <w:pStyle w:val="NormalWeb"/>
        <w:spacing w:before="0" w:beforeAutospacing="0" w:after="0"/>
        <w:ind w:left="426"/>
        <w:jc w:val="both"/>
      </w:pPr>
      <w:r w:rsidRPr="00D030BB">
        <w:t xml:space="preserve">c) Se compruebe fehacientemente la presentación por el proveedor de información falsa o adulterada. </w:t>
      </w:r>
    </w:p>
    <w:p w:rsidR="007A047A" w:rsidRPr="00D030BB" w:rsidRDefault="007A047A" w:rsidP="007A047A">
      <w:pPr>
        <w:pStyle w:val="NormalWeb"/>
        <w:spacing w:before="0" w:beforeAutospacing="0" w:after="0"/>
        <w:ind w:left="426"/>
        <w:jc w:val="both"/>
      </w:pPr>
      <w:r w:rsidRPr="00D030BB">
        <w:t xml:space="preserve">d) Declaración de la quiebra hasta la rehabilitación. </w:t>
      </w:r>
    </w:p>
    <w:p w:rsidR="007A047A" w:rsidRPr="00D030BB" w:rsidRDefault="007A047A" w:rsidP="007A047A">
      <w:pPr>
        <w:pStyle w:val="NormalWeb"/>
        <w:spacing w:before="0" w:beforeAutospacing="0" w:after="0"/>
        <w:ind w:left="426"/>
        <w:jc w:val="both"/>
      </w:pPr>
      <w:r w:rsidRPr="00D030BB">
        <w:t xml:space="preserve">e) En caso de incurrir en tres (3) suspensiones por un período de dos (2) años, el plazo de suspensión será de 2 años. </w:t>
      </w:r>
    </w:p>
    <w:p w:rsidR="007A047A" w:rsidRPr="00D030BB" w:rsidRDefault="007A047A" w:rsidP="007A047A">
      <w:pPr>
        <w:pStyle w:val="NormalWeb"/>
        <w:spacing w:before="0" w:beforeAutospacing="0" w:after="0"/>
        <w:ind w:left="426"/>
        <w:jc w:val="both"/>
      </w:pPr>
      <w:r w:rsidRPr="00D030BB">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7A047A" w:rsidRPr="00D030BB" w:rsidRDefault="007A047A" w:rsidP="007A047A">
      <w:pPr>
        <w:pStyle w:val="NormalWeb"/>
        <w:spacing w:before="0" w:beforeAutospacing="0" w:after="0"/>
        <w:jc w:val="both"/>
        <w:rPr>
          <w:bCs/>
          <w:lang w:val="es-ES_tradnl"/>
        </w:rPr>
      </w:pPr>
    </w:p>
    <w:p w:rsidR="007A047A" w:rsidRPr="00D030BB" w:rsidRDefault="007A047A" w:rsidP="007A047A">
      <w:pPr>
        <w:pStyle w:val="NormalWeb"/>
        <w:spacing w:before="0" w:beforeAutospacing="0" w:after="0"/>
        <w:jc w:val="both"/>
      </w:pPr>
      <w:r w:rsidRPr="00D030BB">
        <w:t xml:space="preserve">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w:t>
      </w:r>
      <w:r w:rsidRPr="00D030BB">
        <w:lastRenderedPageBreak/>
        <w:t>de la Secretaría de Hacienda y Finanzas de la Provincia de San Juan, a los fines de la registración correspondiente.</w:t>
      </w:r>
    </w:p>
    <w:p w:rsidR="007A047A" w:rsidRPr="00D030BB" w:rsidRDefault="007A047A" w:rsidP="007A047A">
      <w:pPr>
        <w:pStyle w:val="NormalWeb"/>
        <w:spacing w:before="0" w:beforeAutospacing="0" w:after="0"/>
        <w:jc w:val="both"/>
      </w:pPr>
      <w:r w:rsidRPr="00D030BB">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7A047A" w:rsidRPr="00D030BB" w:rsidRDefault="007A047A" w:rsidP="007A047A">
      <w:pPr>
        <w:pStyle w:val="NormalWeb"/>
        <w:spacing w:before="0" w:beforeAutospacing="0" w:after="0"/>
        <w:jc w:val="both"/>
      </w:pPr>
      <w:r w:rsidRPr="00D030BB">
        <w:t>Según Modificatoria de Clausulas Generales Decreto 664-MSP-2019.</w:t>
      </w:r>
    </w:p>
    <w:p w:rsidR="007A047A" w:rsidRPr="00D030BB" w:rsidRDefault="007A047A" w:rsidP="007A047A">
      <w:pPr>
        <w:pStyle w:val="NormalWeb"/>
        <w:spacing w:before="0" w:beforeAutospacing="0" w:after="0"/>
        <w:jc w:val="both"/>
        <w:rPr>
          <w:rFonts w:ascii="Verdana" w:hAnsi="Verdana" w:cs="Arial"/>
          <w:sz w:val="20"/>
          <w:szCs w:val="20"/>
        </w:rPr>
      </w:pPr>
    </w:p>
    <w:p w:rsidR="007A047A" w:rsidRPr="00D030BB" w:rsidRDefault="007A047A" w:rsidP="007A047A">
      <w:pPr>
        <w:numPr>
          <w:ilvl w:val="0"/>
          <w:numId w:val="15"/>
        </w:numPr>
        <w:spacing w:after="100" w:afterAutospacing="1" w:line="240" w:lineRule="auto"/>
        <w:ind w:left="720" w:hanging="720"/>
        <w:jc w:val="both"/>
        <w:rPr>
          <w:rFonts w:ascii="Times New Roman" w:hAnsi="Times New Roman"/>
          <w:b/>
          <w:bCs/>
          <w:sz w:val="24"/>
          <w:szCs w:val="24"/>
          <w:lang w:val="es-ES_tradnl"/>
        </w:rPr>
      </w:pPr>
      <w:r w:rsidRPr="00D030BB">
        <w:rPr>
          <w:rFonts w:ascii="Times New Roman" w:hAnsi="Times New Roman"/>
          <w:b/>
          <w:bCs/>
          <w:sz w:val="24"/>
          <w:szCs w:val="24"/>
          <w:lang w:val="es-ES_tradnl"/>
        </w:rPr>
        <w:t xml:space="preserve">Plazo y forma de entrega: </w:t>
      </w:r>
    </w:p>
    <w:p w:rsidR="007A047A" w:rsidRPr="00D030BB" w:rsidRDefault="007A047A" w:rsidP="007A047A">
      <w:pPr>
        <w:pStyle w:val="NormalWeb"/>
        <w:numPr>
          <w:ilvl w:val="0"/>
          <w:numId w:val="16"/>
        </w:numPr>
        <w:spacing w:before="0" w:beforeAutospacing="0" w:after="0"/>
        <w:jc w:val="both"/>
        <w:rPr>
          <w:rFonts w:eastAsiaTheme="minorHAnsi"/>
          <w:b/>
          <w:bCs/>
          <w:u w:val="single"/>
          <w:lang w:val="es-ES_tradnl" w:eastAsia="en-US"/>
        </w:rPr>
      </w:pPr>
      <w:r w:rsidRPr="00D030BB">
        <w:rPr>
          <w:rFonts w:eastAsiaTheme="minorHAnsi"/>
          <w:b/>
          <w:bCs/>
          <w:u w:val="single"/>
          <w:lang w:val="es-ES_tradnl" w:eastAsia="en-US"/>
        </w:rPr>
        <w:t>En General</w:t>
      </w:r>
    </w:p>
    <w:p w:rsidR="007A047A" w:rsidRPr="00D030BB" w:rsidRDefault="007A047A" w:rsidP="007A047A">
      <w:pPr>
        <w:pStyle w:val="NormalWeb"/>
        <w:spacing w:before="0" w:beforeAutospacing="0" w:after="0"/>
        <w:ind w:left="360"/>
        <w:jc w:val="both"/>
        <w:rPr>
          <w:rFonts w:eastAsiaTheme="minorHAnsi"/>
          <w:bCs/>
          <w:lang w:val="es-ES_tradnl" w:eastAsia="en-US"/>
        </w:rPr>
      </w:pPr>
    </w:p>
    <w:p w:rsidR="007A047A" w:rsidRPr="00D030BB" w:rsidRDefault="007A047A" w:rsidP="007A047A">
      <w:pPr>
        <w:pStyle w:val="NormalWeb"/>
        <w:spacing w:before="0" w:beforeAutospacing="0" w:after="0"/>
        <w:jc w:val="both"/>
        <w:rPr>
          <w:rFonts w:eastAsiaTheme="minorHAnsi"/>
          <w:bCs/>
          <w:lang w:val="es-ES_tradnl" w:eastAsia="en-US"/>
        </w:rPr>
      </w:pPr>
      <w:r w:rsidRPr="00D030BB">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7A047A" w:rsidRPr="00D030BB" w:rsidRDefault="007A047A" w:rsidP="007A047A">
      <w:pPr>
        <w:pStyle w:val="NormalWeb"/>
        <w:spacing w:before="0" w:beforeAutospacing="0" w:after="0"/>
        <w:jc w:val="both"/>
        <w:rPr>
          <w:rFonts w:eastAsiaTheme="minorHAnsi"/>
          <w:bCs/>
          <w:lang w:val="es-ES_tradnl" w:eastAsia="en-US"/>
        </w:rPr>
      </w:pPr>
      <w:r w:rsidRPr="00D030BB">
        <w:rPr>
          <w:rFonts w:eastAsiaTheme="minorHAnsi"/>
          <w:b/>
          <w:bCs/>
          <w:lang w:val="es-ES_tradnl" w:eastAsia="en-US"/>
        </w:rPr>
        <w:t>Plazo de entrega: 15 (quince) días hábiles</w:t>
      </w:r>
      <w:r w:rsidRPr="00D030BB">
        <w:rPr>
          <w:rFonts w:eastAsiaTheme="minorHAnsi"/>
          <w:bCs/>
          <w:lang w:val="es-ES_tradnl" w:eastAsia="en-US"/>
        </w:rPr>
        <w:t xml:space="preserve"> a partir de la fecha de notificación de la Orden de Entrega definitiva o contrato, </w:t>
      </w:r>
      <w:r w:rsidRPr="00D030BB">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D030BB">
        <w:rPr>
          <w:rFonts w:eastAsiaTheme="minorHAnsi"/>
          <w:bCs/>
          <w:lang w:val="es-ES_tradnl" w:eastAsia="en-US"/>
        </w:rPr>
        <w:t>, lo cual será evaluado por la Comisión de Adjudicación.-</w:t>
      </w:r>
    </w:p>
    <w:p w:rsidR="007A047A" w:rsidRPr="00D030BB" w:rsidRDefault="007A047A" w:rsidP="007A047A">
      <w:pPr>
        <w:pStyle w:val="NormalWeb"/>
        <w:spacing w:before="0" w:beforeAutospacing="0" w:after="0"/>
        <w:jc w:val="both"/>
        <w:rPr>
          <w:rFonts w:eastAsiaTheme="minorHAnsi"/>
          <w:b/>
          <w:bCs/>
          <w:u w:val="single"/>
          <w:lang w:val="es-ES_tradnl" w:eastAsia="en-US"/>
        </w:rPr>
      </w:pPr>
      <w:r w:rsidRPr="00D030BB">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D030BB">
        <w:rPr>
          <w:rFonts w:eastAsiaTheme="minorHAnsi"/>
          <w:b/>
          <w:bCs/>
          <w:u w:val="single"/>
          <w:lang w:val="es-ES_tradnl" w:eastAsia="en-US"/>
        </w:rPr>
        <w:t>ó</w:t>
      </w:r>
      <w:proofErr w:type="spellEnd"/>
      <w:r w:rsidRPr="00D030BB">
        <w:rPr>
          <w:rFonts w:eastAsiaTheme="minorHAnsi"/>
          <w:b/>
          <w:bCs/>
          <w:u w:val="single"/>
          <w:lang w:val="es-ES_tradnl" w:eastAsia="en-US"/>
        </w:rPr>
        <w:t xml:space="preserve"> los renglones entregados con mora, todo esto en la instancia al pago de la facturación presentada.-</w:t>
      </w:r>
    </w:p>
    <w:p w:rsidR="007A047A" w:rsidRPr="00D030BB" w:rsidRDefault="007A047A" w:rsidP="007A047A">
      <w:pPr>
        <w:pStyle w:val="NormalWeb"/>
        <w:spacing w:before="0" w:beforeAutospacing="0" w:after="0"/>
        <w:jc w:val="both"/>
        <w:rPr>
          <w:rFonts w:eastAsiaTheme="minorHAnsi"/>
          <w:bCs/>
          <w:lang w:val="es-ES_tradnl" w:eastAsia="en-US"/>
        </w:rPr>
      </w:pPr>
      <w:r w:rsidRPr="00D030BB">
        <w:rPr>
          <w:rFonts w:eastAsiaTheme="minorHAnsi"/>
          <w:bCs/>
          <w:lang w:val="es-ES_tradnl" w:eastAsia="en-US"/>
        </w:rPr>
        <w:t>Se deberá hacer entrega de las unidades que conforman el total del renglón o lote completo adjudicado.</w:t>
      </w:r>
    </w:p>
    <w:p w:rsidR="007A047A" w:rsidRDefault="007A047A" w:rsidP="007A047A">
      <w:pPr>
        <w:contextualSpacing/>
        <w:rPr>
          <w:rFonts w:ascii="Times New Roman" w:hAnsi="Times New Roman"/>
          <w:bCs/>
          <w:color w:val="FF0000"/>
          <w:sz w:val="24"/>
          <w:szCs w:val="24"/>
          <w:lang w:val="es-ES_tradnl"/>
        </w:rPr>
      </w:pPr>
    </w:p>
    <w:p w:rsidR="007A047A" w:rsidRPr="0085205E" w:rsidRDefault="007A047A" w:rsidP="007A047A">
      <w:pPr>
        <w:contextualSpacing/>
        <w:jc w:val="center"/>
        <w:rPr>
          <w:rFonts w:ascii="Times New Roman" w:hAnsi="Times New Roman"/>
          <w:sz w:val="24"/>
          <w:szCs w:val="24"/>
          <w:lang w:val="es-ES_tradnl"/>
        </w:rPr>
      </w:pPr>
      <w:r>
        <w:rPr>
          <w:rFonts w:ascii="Times New Roman" w:hAnsi="Times New Roman"/>
          <w:sz w:val="24"/>
          <w:szCs w:val="24"/>
          <w:lang w:val="es-ES_tradnl"/>
        </w:rPr>
        <w:t xml:space="preserve"> “SE SOLICITA INCLUIR EN LA OFERTA ECONOMICA, NUMERO DE CONTACTO Y CORREO ELECTRONICO ACTUALIZADO.”</w:t>
      </w:r>
    </w:p>
    <w:p w:rsidR="00CB1117" w:rsidRPr="00764CFB" w:rsidRDefault="00303333"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33" w:rsidRDefault="00303333" w:rsidP="00044DD7">
      <w:pPr>
        <w:spacing w:after="0" w:line="240" w:lineRule="auto"/>
      </w:pPr>
      <w:r>
        <w:separator/>
      </w:r>
    </w:p>
  </w:endnote>
  <w:endnote w:type="continuationSeparator" w:id="0">
    <w:p w:rsidR="00303333" w:rsidRDefault="00303333"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7A047A">
          <w:rPr>
            <w:noProof/>
          </w:rPr>
          <w:t>3</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33" w:rsidRDefault="00303333" w:rsidP="00044DD7">
      <w:pPr>
        <w:spacing w:after="0" w:line="240" w:lineRule="auto"/>
      </w:pPr>
      <w:r>
        <w:separator/>
      </w:r>
    </w:p>
  </w:footnote>
  <w:footnote w:type="continuationSeparator" w:id="0">
    <w:p w:rsidR="00303333" w:rsidRDefault="00303333"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1447086"/>
    <w:multiLevelType w:val="hybridMultilevel"/>
    <w:tmpl w:val="8DDA6F76"/>
    <w:lvl w:ilvl="0" w:tplc="B7023AF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4">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20">
    <w:nsid w:val="6DAC36B6"/>
    <w:multiLevelType w:val="hybridMultilevel"/>
    <w:tmpl w:val="6DD634B0"/>
    <w:lvl w:ilvl="0" w:tplc="27C627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23">
    <w:nsid w:val="79F34192"/>
    <w:multiLevelType w:val="hybridMultilevel"/>
    <w:tmpl w:val="1BFE629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B5664D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 w:numId="13">
    <w:abstractNumId w:val="17"/>
  </w:num>
  <w:num w:numId="14">
    <w:abstractNumId w:val="21"/>
  </w:num>
  <w:num w:numId="15">
    <w:abstractNumId w:val="13"/>
  </w:num>
  <w:num w:numId="16">
    <w:abstractNumId w:val="11"/>
  </w:num>
  <w:num w:numId="17">
    <w:abstractNumId w:val="0"/>
  </w:num>
  <w:num w:numId="18">
    <w:abstractNumId w:val="19"/>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12"/>
  </w:num>
  <w:num w:numId="25">
    <w:abstractNumId w:val="16"/>
  </w:num>
  <w:num w:numId="26">
    <w:abstractNumId w:val="7"/>
  </w:num>
  <w:num w:numId="27">
    <w:abstractNumId w:val="5"/>
  </w:num>
  <w:num w:numId="28">
    <w:abstractNumId w:val="6"/>
  </w:num>
  <w:num w:numId="29">
    <w:abstractNumId w:val="4"/>
  </w:num>
  <w:num w:numId="30">
    <w:abstractNumId w:val="15"/>
  </w:num>
  <w:num w:numId="31">
    <w:abstractNumId w:val="2"/>
  </w:num>
  <w:num w:numId="32">
    <w:abstractNumId w:val="20"/>
  </w:num>
  <w:num w:numId="33">
    <w:abstractNumId w:val="24"/>
  </w:num>
  <w:num w:numId="34">
    <w:abstractNumId w:val="22"/>
  </w:num>
  <w:num w:numId="35">
    <w:abstractNumId w:val="18"/>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541E"/>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4AE5"/>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333"/>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0138"/>
    <w:rsid w:val="003A7902"/>
    <w:rsid w:val="003B28FA"/>
    <w:rsid w:val="003B2B95"/>
    <w:rsid w:val="003C67E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3E78"/>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29B0"/>
    <w:rsid w:val="0052560D"/>
    <w:rsid w:val="0053058E"/>
    <w:rsid w:val="005447DF"/>
    <w:rsid w:val="00546C15"/>
    <w:rsid w:val="00547482"/>
    <w:rsid w:val="00551410"/>
    <w:rsid w:val="00551578"/>
    <w:rsid w:val="00551E48"/>
    <w:rsid w:val="00552D6A"/>
    <w:rsid w:val="00586328"/>
    <w:rsid w:val="005903B0"/>
    <w:rsid w:val="00591027"/>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A6685"/>
    <w:rsid w:val="006B0B37"/>
    <w:rsid w:val="006B6015"/>
    <w:rsid w:val="006B6C6E"/>
    <w:rsid w:val="006C01B3"/>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66CAC"/>
    <w:rsid w:val="00770688"/>
    <w:rsid w:val="00771E45"/>
    <w:rsid w:val="00774957"/>
    <w:rsid w:val="00783B0C"/>
    <w:rsid w:val="00785454"/>
    <w:rsid w:val="007A047A"/>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C6ED8"/>
    <w:rsid w:val="008D4579"/>
    <w:rsid w:val="008D5106"/>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D1D9A"/>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64F19"/>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AF1F51"/>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0139"/>
    <w:rsid w:val="00D35E75"/>
    <w:rsid w:val="00D46D78"/>
    <w:rsid w:val="00D51A78"/>
    <w:rsid w:val="00D54FD8"/>
    <w:rsid w:val="00D64B4F"/>
    <w:rsid w:val="00D70F8C"/>
    <w:rsid w:val="00D71F18"/>
    <w:rsid w:val="00D8019C"/>
    <w:rsid w:val="00D808D3"/>
    <w:rsid w:val="00D8257F"/>
    <w:rsid w:val="00D82DDE"/>
    <w:rsid w:val="00D8343D"/>
    <w:rsid w:val="00D9071C"/>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691E-81EF-4769-8062-F2DFE18D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3982</Words>
  <Characters>21902</Characters>
  <Application>Microsoft Office Word</Application>
  <DocSecurity>0</DocSecurity>
  <Lines>182</Lines>
  <Paragraphs>51</Paragraphs>
  <ScaleCrop>false</ScaleCrop>
  <Company>Microsoft</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261</cp:revision>
  <dcterms:created xsi:type="dcterms:W3CDTF">2019-01-14T11:30:00Z</dcterms:created>
  <dcterms:modified xsi:type="dcterms:W3CDTF">2020-09-30T11:32:00Z</dcterms:modified>
</cp:coreProperties>
</file>