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D8343D" w:rsidP="00CA196D">
      <w:pPr>
        <w:jc w:val="both"/>
        <w:rPr>
          <w:sz w:val="28"/>
          <w:szCs w:val="28"/>
          <w:lang w:val="es-MX"/>
        </w:rPr>
      </w:pPr>
      <w:r>
        <w:rPr>
          <w:sz w:val="28"/>
          <w:szCs w:val="28"/>
          <w:lang w:val="es-MX"/>
        </w:rPr>
        <w:pict>
          <v:rect id="_x0000_i1025" style="width:0;height:1.5pt" o:hralign="center" o:hrstd="t" o:hr="t" fillcolor="#a0a0a0" stroked="f"/>
        </w:pict>
      </w:r>
    </w:p>
    <w:p w:rsidR="00D9071C" w:rsidRPr="002C7F79" w:rsidRDefault="00D9071C" w:rsidP="00D9071C">
      <w:pPr>
        <w:jc w:val="center"/>
        <w:rPr>
          <w:rFonts w:ascii="Arial" w:hAnsi="Arial" w:cs="Arial"/>
          <w:sz w:val="28"/>
          <w:szCs w:val="28"/>
          <w:u w:val="single"/>
        </w:rPr>
      </w:pPr>
      <w:r>
        <w:rPr>
          <w:rFonts w:ascii="Arial" w:hAnsi="Arial" w:cs="Arial"/>
          <w:sz w:val="28"/>
          <w:szCs w:val="28"/>
          <w:u w:val="single"/>
        </w:rPr>
        <w:t xml:space="preserve">COMPRA </w:t>
      </w:r>
      <w:r w:rsidRPr="002C7F79">
        <w:rPr>
          <w:rFonts w:ascii="Arial" w:hAnsi="Arial" w:cs="Arial"/>
          <w:sz w:val="28"/>
          <w:szCs w:val="28"/>
          <w:u w:val="single"/>
        </w:rPr>
        <w:t xml:space="preserve">DIRECTA  N° 67/20   </w:t>
      </w:r>
    </w:p>
    <w:p w:rsidR="00D9071C" w:rsidRPr="002C7F79" w:rsidRDefault="00D9071C" w:rsidP="00D9071C">
      <w:pPr>
        <w:jc w:val="center"/>
        <w:rPr>
          <w:rFonts w:ascii="Arial" w:hAnsi="Arial" w:cs="Arial"/>
          <w:sz w:val="28"/>
          <w:szCs w:val="28"/>
          <w:u w:val="single"/>
        </w:rPr>
      </w:pPr>
      <w:r w:rsidRPr="002C7F79">
        <w:rPr>
          <w:rFonts w:ascii="Arial" w:hAnsi="Arial" w:cs="Arial"/>
          <w:sz w:val="28"/>
          <w:szCs w:val="28"/>
          <w:u w:val="single"/>
        </w:rPr>
        <w:t>LEY 783 –P.</w:t>
      </w:r>
    </w:p>
    <w:p w:rsidR="00D9071C" w:rsidRPr="00D9071C" w:rsidRDefault="00D9071C" w:rsidP="00D9071C">
      <w:pPr>
        <w:tabs>
          <w:tab w:val="left" w:pos="5610"/>
        </w:tabs>
        <w:jc w:val="center"/>
        <w:rPr>
          <w:rFonts w:ascii="Arial" w:hAnsi="Arial" w:cs="Arial"/>
          <w:sz w:val="28"/>
          <w:szCs w:val="28"/>
        </w:rPr>
      </w:pPr>
      <w:r w:rsidRPr="002C7F79">
        <w:rPr>
          <w:rFonts w:ascii="Arial" w:hAnsi="Arial" w:cs="Arial"/>
          <w:sz w:val="28"/>
          <w:szCs w:val="28"/>
        </w:rPr>
        <w:t xml:space="preserve">Expediente Nº 800-004139-2020/ </w:t>
      </w:r>
      <w:r w:rsidRPr="002C7F79">
        <w:rPr>
          <w:rFonts w:ascii="Arial" w:hAnsi="Arial" w:cs="Arial"/>
          <w:b/>
          <w:i/>
          <w:sz w:val="28"/>
          <w:szCs w:val="28"/>
        </w:rPr>
        <w:t>Rs.3628-MSP</w:t>
      </w:r>
      <w:r w:rsidRPr="002C7F79">
        <w:rPr>
          <w:rFonts w:ascii="Arial" w:hAnsi="Arial" w:cs="Arial"/>
          <w:sz w:val="28"/>
          <w:szCs w:val="28"/>
        </w:rPr>
        <w:t>-</w:t>
      </w:r>
      <w:r w:rsidRPr="002C7F79">
        <w:rPr>
          <w:rFonts w:ascii="Arial" w:hAnsi="Arial" w:cs="Arial"/>
          <w:b/>
          <w:sz w:val="28"/>
          <w:szCs w:val="28"/>
        </w:rPr>
        <w:t xml:space="preserve">2020 </w:t>
      </w:r>
      <w:r w:rsidRPr="002C7F79">
        <w:rPr>
          <w:rFonts w:ascii="Arial" w:hAnsi="Arial" w:cs="Arial"/>
          <w:sz w:val="28"/>
          <w:szCs w:val="28"/>
        </w:rPr>
        <w:t xml:space="preserve">           </w:t>
      </w:r>
      <w:bookmarkStart w:id="0" w:name="_GoBack"/>
      <w:bookmarkEnd w:id="0"/>
    </w:p>
    <w:p w:rsidR="00D9071C" w:rsidRDefault="00D9071C" w:rsidP="00D9071C">
      <w:pPr>
        <w:jc w:val="both"/>
        <w:rPr>
          <w:rFonts w:cs="Times New Roman"/>
          <w:szCs w:val="24"/>
          <w:lang w:val="es-ES"/>
        </w:rPr>
      </w:pPr>
      <w:r w:rsidRPr="00C91699">
        <w:rPr>
          <w:rFonts w:ascii="Verdana" w:hAnsi="Verdana" w:cs="Arial"/>
          <w:sz w:val="20"/>
          <w:szCs w:val="20"/>
        </w:rPr>
        <w:t xml:space="preserve">                               A realizarse la apertura el día </w:t>
      </w:r>
      <w:r w:rsidRPr="00C91699">
        <w:rPr>
          <w:rFonts w:ascii="Verdana" w:hAnsi="Verdana" w:cs="Arial"/>
          <w:b/>
          <w:sz w:val="20"/>
          <w:szCs w:val="20"/>
        </w:rPr>
        <w:t xml:space="preserve">Jueves 08 (ocho) de </w:t>
      </w:r>
      <w:r w:rsidRPr="002C7F79">
        <w:rPr>
          <w:rFonts w:ascii="Verdana" w:hAnsi="Verdana" w:cs="Arial"/>
          <w:b/>
          <w:sz w:val="20"/>
          <w:szCs w:val="20"/>
        </w:rPr>
        <w:t>Octubre del 2.020</w:t>
      </w:r>
      <w:r w:rsidRPr="002C7F79">
        <w:rPr>
          <w:rFonts w:ascii="Verdana" w:hAnsi="Verdana" w:cs="Arial"/>
          <w:sz w:val="20"/>
          <w:szCs w:val="20"/>
        </w:rPr>
        <w:t xml:space="preserve"> </w:t>
      </w:r>
      <w:r w:rsidRPr="002C7F79">
        <w:rPr>
          <w:rFonts w:ascii="Verdana" w:hAnsi="Verdana" w:cs="Arial"/>
          <w:b/>
          <w:sz w:val="20"/>
          <w:szCs w:val="20"/>
        </w:rPr>
        <w:t>y  la recepción de sobres hasta las 09:00 horas en la oficina de Departamento Compras</w:t>
      </w:r>
      <w:r w:rsidRPr="002C7F79">
        <w:rPr>
          <w:rFonts w:ascii="Verdana" w:hAnsi="Verdana" w:cs="Arial"/>
          <w:sz w:val="20"/>
          <w:szCs w:val="20"/>
        </w:rPr>
        <w:t xml:space="preserve">, para la adquisición de </w:t>
      </w:r>
      <w:r w:rsidRPr="002C7F79">
        <w:rPr>
          <w:rFonts w:ascii="Verdana" w:hAnsi="Verdana" w:cs="Arial"/>
          <w:sz w:val="20"/>
          <w:szCs w:val="20"/>
          <w:lang w:val="es-ES"/>
        </w:rPr>
        <w:t>reactivos para determinaciones de inmunoserología de banco de sangre del Instituto Provincial de Hemoterapia (IPHEM), dependiente del Ministerio de Salud Pública.</w:t>
      </w:r>
    </w:p>
    <w:p w:rsidR="00D9071C" w:rsidRDefault="00D9071C" w:rsidP="00D9071C">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D9071C" w:rsidRDefault="00D9071C" w:rsidP="00D9071C">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D9071C" w:rsidRDefault="00D9071C" w:rsidP="00D9071C">
      <w:pPr>
        <w:pStyle w:val="Sangranormal"/>
        <w:tabs>
          <w:tab w:val="left" w:pos="1200"/>
          <w:tab w:val="left" w:pos="1680"/>
        </w:tabs>
        <w:ind w:left="0" w:firstLine="2127"/>
        <w:jc w:val="both"/>
        <w:rPr>
          <w:rFonts w:ascii="Verdana" w:hAnsi="Verdana" w:cs="Arial"/>
          <w:b/>
          <w:sz w:val="20"/>
          <w:szCs w:val="20"/>
          <w:u w:val="single"/>
        </w:rPr>
      </w:pPr>
    </w:p>
    <w:tbl>
      <w:tblPr>
        <w:tblW w:w="9513" w:type="dxa"/>
        <w:tblInd w:w="55" w:type="dxa"/>
        <w:tblCellMar>
          <w:left w:w="70" w:type="dxa"/>
          <w:right w:w="70" w:type="dxa"/>
        </w:tblCellMar>
        <w:tblLook w:val="04A0" w:firstRow="1" w:lastRow="0" w:firstColumn="1" w:lastColumn="0" w:noHBand="0" w:noVBand="1"/>
      </w:tblPr>
      <w:tblGrid>
        <w:gridCol w:w="994"/>
        <w:gridCol w:w="5684"/>
        <w:gridCol w:w="1701"/>
        <w:gridCol w:w="1134"/>
      </w:tblGrid>
      <w:tr w:rsidR="00D9071C" w:rsidTr="00D9071C">
        <w:trPr>
          <w:trHeight w:val="324"/>
        </w:trPr>
        <w:tc>
          <w:tcPr>
            <w:tcW w:w="994" w:type="dxa"/>
            <w:tcBorders>
              <w:top w:val="single" w:sz="8" w:space="0" w:color="auto"/>
              <w:left w:val="single" w:sz="8" w:space="0" w:color="auto"/>
              <w:bottom w:val="single" w:sz="8" w:space="0" w:color="auto"/>
              <w:right w:val="single" w:sz="8" w:space="0" w:color="auto"/>
            </w:tcBorders>
            <w:vAlign w:val="center"/>
            <w:hideMark/>
          </w:tcPr>
          <w:p w:rsidR="00D9071C" w:rsidRDefault="00D9071C" w:rsidP="00D9071C">
            <w:pPr>
              <w:spacing w:after="0"/>
              <w:jc w:val="center"/>
              <w:rPr>
                <w:rFonts w:ascii="Times New Roman" w:eastAsia="Times New Roman" w:hAnsi="Times New Roman" w:cs="Times New Roman"/>
                <w:b/>
                <w:bCs/>
                <w:color w:val="000000"/>
                <w:sz w:val="24"/>
                <w:szCs w:val="24"/>
                <w:lang w:eastAsia="es-AR"/>
              </w:rPr>
            </w:pPr>
            <w:r>
              <w:rPr>
                <w:rFonts w:eastAsia="Times New Roman" w:cs="Times New Roman"/>
                <w:b/>
                <w:bCs/>
                <w:color w:val="000000"/>
                <w:szCs w:val="24"/>
                <w:lang w:val="es-ES" w:eastAsia="es-AR"/>
              </w:rPr>
              <w:t>Renglón</w:t>
            </w:r>
          </w:p>
        </w:tc>
        <w:tc>
          <w:tcPr>
            <w:tcW w:w="5684" w:type="dxa"/>
            <w:tcBorders>
              <w:top w:val="single" w:sz="8" w:space="0" w:color="auto"/>
              <w:left w:val="nil"/>
              <w:bottom w:val="single" w:sz="8" w:space="0" w:color="auto"/>
              <w:right w:val="single" w:sz="8" w:space="0" w:color="auto"/>
            </w:tcBorders>
            <w:noWrap/>
            <w:vAlign w:val="center"/>
            <w:hideMark/>
          </w:tcPr>
          <w:p w:rsidR="00D9071C" w:rsidRDefault="00D9071C" w:rsidP="00D9071C">
            <w:pPr>
              <w:spacing w:after="0"/>
              <w:jc w:val="center"/>
              <w:rPr>
                <w:rFonts w:ascii="Times New Roman" w:eastAsia="Times New Roman" w:hAnsi="Times New Roman" w:cs="Times New Roman"/>
                <w:b/>
                <w:bCs/>
                <w:color w:val="000000"/>
                <w:sz w:val="24"/>
                <w:szCs w:val="24"/>
                <w:lang w:eastAsia="es-AR"/>
              </w:rPr>
            </w:pPr>
            <w:r>
              <w:rPr>
                <w:rFonts w:eastAsia="Times New Roman" w:cs="Times New Roman"/>
                <w:b/>
                <w:bCs/>
                <w:color w:val="000000"/>
                <w:szCs w:val="24"/>
                <w:lang w:val="es-ES" w:eastAsia="es-AR"/>
              </w:rPr>
              <w:t>Detalle</w:t>
            </w:r>
          </w:p>
        </w:tc>
        <w:tc>
          <w:tcPr>
            <w:tcW w:w="1701" w:type="dxa"/>
            <w:tcBorders>
              <w:top w:val="single" w:sz="8" w:space="0" w:color="auto"/>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b/>
                <w:bCs/>
                <w:color w:val="000000"/>
                <w:sz w:val="24"/>
                <w:szCs w:val="24"/>
                <w:lang w:eastAsia="es-AR"/>
              </w:rPr>
            </w:pPr>
            <w:r>
              <w:rPr>
                <w:rFonts w:eastAsia="Times New Roman" w:cs="Times New Roman"/>
                <w:b/>
                <w:bCs/>
                <w:color w:val="000000"/>
                <w:szCs w:val="24"/>
                <w:lang w:val="es-ES" w:eastAsia="es-AR"/>
              </w:rPr>
              <w:t>Presentación</w:t>
            </w:r>
          </w:p>
        </w:tc>
        <w:tc>
          <w:tcPr>
            <w:tcW w:w="1134" w:type="dxa"/>
            <w:tcBorders>
              <w:top w:val="single" w:sz="8" w:space="0" w:color="auto"/>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b/>
                <w:bCs/>
                <w:color w:val="000000"/>
                <w:sz w:val="24"/>
                <w:szCs w:val="24"/>
                <w:lang w:eastAsia="es-AR"/>
              </w:rPr>
            </w:pPr>
            <w:r>
              <w:rPr>
                <w:rFonts w:eastAsia="Times New Roman" w:cs="Times New Roman"/>
                <w:b/>
                <w:bCs/>
                <w:color w:val="000000"/>
                <w:szCs w:val="24"/>
                <w:lang w:val="es-ES" w:eastAsia="es-AR"/>
              </w:rPr>
              <w:t>Cantidad</w:t>
            </w:r>
          </w:p>
        </w:tc>
      </w:tr>
      <w:tr w:rsidR="00D9071C" w:rsidTr="00D9071C">
        <w:trPr>
          <w:trHeight w:val="324"/>
        </w:trPr>
        <w:tc>
          <w:tcPr>
            <w:tcW w:w="994" w:type="dxa"/>
            <w:tcBorders>
              <w:top w:val="nil"/>
              <w:left w:val="single" w:sz="8" w:space="0" w:color="auto"/>
              <w:bottom w:val="single" w:sz="8" w:space="0" w:color="auto"/>
              <w:right w:val="single" w:sz="8" w:space="0" w:color="auto"/>
            </w:tcBorders>
            <w:vAlign w:val="center"/>
            <w:hideMark/>
          </w:tcPr>
          <w:p w:rsidR="00D9071C" w:rsidRDefault="00D9071C" w:rsidP="00D9071C">
            <w:pPr>
              <w:spacing w:after="0"/>
              <w:jc w:val="right"/>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1</w:t>
            </w:r>
          </w:p>
        </w:tc>
        <w:tc>
          <w:tcPr>
            <w:tcW w:w="5684"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Chagas QL CMIA automatizado sistema arquitech</w:t>
            </w:r>
          </w:p>
        </w:tc>
        <w:tc>
          <w:tcPr>
            <w:tcW w:w="1701"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Determinaciones</w:t>
            </w:r>
          </w:p>
        </w:tc>
        <w:tc>
          <w:tcPr>
            <w:tcW w:w="1134" w:type="dxa"/>
            <w:tcBorders>
              <w:top w:val="nil"/>
              <w:left w:val="nil"/>
              <w:bottom w:val="single" w:sz="8" w:space="0" w:color="auto"/>
              <w:right w:val="single" w:sz="8" w:space="0" w:color="auto"/>
            </w:tcBorders>
            <w:noWrap/>
            <w:vAlign w:val="center"/>
            <w:hideMark/>
          </w:tcPr>
          <w:p w:rsidR="00D9071C" w:rsidRDefault="00D9071C" w:rsidP="00D9071C">
            <w:pPr>
              <w:spacing w:after="0"/>
              <w:jc w:val="center"/>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1500</w:t>
            </w:r>
          </w:p>
        </w:tc>
      </w:tr>
      <w:tr w:rsidR="00D9071C" w:rsidTr="00D9071C">
        <w:trPr>
          <w:trHeight w:val="324"/>
        </w:trPr>
        <w:tc>
          <w:tcPr>
            <w:tcW w:w="994" w:type="dxa"/>
            <w:tcBorders>
              <w:top w:val="nil"/>
              <w:left w:val="single" w:sz="8" w:space="0" w:color="auto"/>
              <w:bottom w:val="single" w:sz="8" w:space="0" w:color="auto"/>
              <w:right w:val="single" w:sz="8" w:space="0" w:color="auto"/>
            </w:tcBorders>
            <w:vAlign w:val="center"/>
            <w:hideMark/>
          </w:tcPr>
          <w:p w:rsidR="00D9071C" w:rsidRDefault="00D9071C" w:rsidP="00D9071C">
            <w:pPr>
              <w:spacing w:after="0"/>
              <w:jc w:val="right"/>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2</w:t>
            </w:r>
          </w:p>
        </w:tc>
        <w:tc>
          <w:tcPr>
            <w:tcW w:w="5684"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Anti HCV QL CMIA automatizado sistema arquitech</w:t>
            </w:r>
          </w:p>
        </w:tc>
        <w:tc>
          <w:tcPr>
            <w:tcW w:w="1701"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Determinaciones</w:t>
            </w:r>
          </w:p>
        </w:tc>
        <w:tc>
          <w:tcPr>
            <w:tcW w:w="1134" w:type="dxa"/>
            <w:tcBorders>
              <w:top w:val="nil"/>
              <w:left w:val="nil"/>
              <w:bottom w:val="single" w:sz="8" w:space="0" w:color="auto"/>
              <w:right w:val="single" w:sz="8" w:space="0" w:color="auto"/>
            </w:tcBorders>
            <w:noWrap/>
            <w:hideMark/>
          </w:tcPr>
          <w:p w:rsidR="00D9071C" w:rsidRDefault="00D9071C" w:rsidP="00D9071C">
            <w:pPr>
              <w:spacing w:after="0"/>
              <w:jc w:val="center"/>
              <w:rPr>
                <w:rFonts w:ascii="Times New Roman" w:hAnsi="Times New Roman"/>
                <w:sz w:val="24"/>
              </w:rPr>
            </w:pPr>
            <w:r>
              <w:rPr>
                <w:rFonts w:eastAsia="Times New Roman" w:cs="Times New Roman"/>
                <w:color w:val="000000"/>
                <w:szCs w:val="24"/>
                <w:lang w:val="es-ES" w:eastAsia="es-AR"/>
              </w:rPr>
              <w:t>1500</w:t>
            </w:r>
          </w:p>
        </w:tc>
      </w:tr>
      <w:tr w:rsidR="00D9071C" w:rsidTr="00D9071C">
        <w:trPr>
          <w:trHeight w:val="324"/>
        </w:trPr>
        <w:tc>
          <w:tcPr>
            <w:tcW w:w="994" w:type="dxa"/>
            <w:tcBorders>
              <w:top w:val="nil"/>
              <w:left w:val="single" w:sz="8" w:space="0" w:color="auto"/>
              <w:bottom w:val="single" w:sz="8" w:space="0" w:color="auto"/>
              <w:right w:val="single" w:sz="8" w:space="0" w:color="auto"/>
            </w:tcBorders>
            <w:vAlign w:val="center"/>
            <w:hideMark/>
          </w:tcPr>
          <w:p w:rsidR="00D9071C" w:rsidRDefault="00D9071C" w:rsidP="00D9071C">
            <w:pPr>
              <w:spacing w:after="0"/>
              <w:jc w:val="right"/>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3</w:t>
            </w:r>
          </w:p>
        </w:tc>
        <w:tc>
          <w:tcPr>
            <w:tcW w:w="5684"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proofErr w:type="spellStart"/>
            <w:r>
              <w:rPr>
                <w:rFonts w:eastAsia="Times New Roman" w:cs="Times New Roman"/>
                <w:color w:val="000000"/>
                <w:szCs w:val="24"/>
                <w:lang w:val="es-ES" w:eastAsia="es-AR"/>
              </w:rPr>
              <w:t>HBs</w:t>
            </w:r>
            <w:proofErr w:type="spellEnd"/>
            <w:r>
              <w:rPr>
                <w:rFonts w:eastAsia="Times New Roman" w:cs="Times New Roman"/>
                <w:color w:val="000000"/>
                <w:szCs w:val="24"/>
                <w:lang w:val="es-ES" w:eastAsia="es-AR"/>
              </w:rPr>
              <w:t xml:space="preserve"> Ag  QL CMIA automatizado sistema arquitech</w:t>
            </w:r>
          </w:p>
        </w:tc>
        <w:tc>
          <w:tcPr>
            <w:tcW w:w="1701"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Determinaciones</w:t>
            </w:r>
          </w:p>
        </w:tc>
        <w:tc>
          <w:tcPr>
            <w:tcW w:w="1134" w:type="dxa"/>
            <w:tcBorders>
              <w:top w:val="nil"/>
              <w:left w:val="nil"/>
              <w:bottom w:val="single" w:sz="8" w:space="0" w:color="auto"/>
              <w:right w:val="single" w:sz="8" w:space="0" w:color="auto"/>
            </w:tcBorders>
            <w:noWrap/>
            <w:hideMark/>
          </w:tcPr>
          <w:p w:rsidR="00D9071C" w:rsidRDefault="00D9071C" w:rsidP="00D9071C">
            <w:pPr>
              <w:spacing w:after="0"/>
              <w:jc w:val="center"/>
              <w:rPr>
                <w:rFonts w:ascii="Times New Roman" w:hAnsi="Times New Roman"/>
                <w:sz w:val="24"/>
              </w:rPr>
            </w:pPr>
            <w:r>
              <w:rPr>
                <w:rFonts w:eastAsia="Times New Roman" w:cs="Times New Roman"/>
                <w:color w:val="000000"/>
                <w:szCs w:val="24"/>
                <w:lang w:val="es-ES" w:eastAsia="es-AR"/>
              </w:rPr>
              <w:t>1500</w:t>
            </w:r>
          </w:p>
        </w:tc>
      </w:tr>
      <w:tr w:rsidR="00D9071C" w:rsidTr="00D9071C">
        <w:trPr>
          <w:trHeight w:val="324"/>
        </w:trPr>
        <w:tc>
          <w:tcPr>
            <w:tcW w:w="994" w:type="dxa"/>
            <w:tcBorders>
              <w:top w:val="nil"/>
              <w:left w:val="single" w:sz="8" w:space="0" w:color="auto"/>
              <w:bottom w:val="single" w:sz="8" w:space="0" w:color="auto"/>
              <w:right w:val="single" w:sz="8" w:space="0" w:color="auto"/>
            </w:tcBorders>
            <w:vAlign w:val="center"/>
            <w:hideMark/>
          </w:tcPr>
          <w:p w:rsidR="00D9071C" w:rsidRDefault="00D9071C" w:rsidP="00D9071C">
            <w:pPr>
              <w:spacing w:after="0"/>
              <w:jc w:val="right"/>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4</w:t>
            </w:r>
          </w:p>
        </w:tc>
        <w:tc>
          <w:tcPr>
            <w:tcW w:w="5684"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 xml:space="preserve">Anti </w:t>
            </w:r>
            <w:proofErr w:type="spellStart"/>
            <w:r>
              <w:rPr>
                <w:rFonts w:eastAsia="Times New Roman" w:cs="Times New Roman"/>
                <w:color w:val="000000"/>
                <w:szCs w:val="24"/>
                <w:lang w:val="es-ES" w:eastAsia="es-AR"/>
              </w:rPr>
              <w:t>HBc</w:t>
            </w:r>
            <w:proofErr w:type="spellEnd"/>
            <w:r>
              <w:rPr>
                <w:rFonts w:eastAsia="Times New Roman" w:cs="Times New Roman"/>
                <w:color w:val="000000"/>
                <w:szCs w:val="24"/>
                <w:lang w:val="es-ES" w:eastAsia="es-AR"/>
              </w:rPr>
              <w:t xml:space="preserve"> II  QL CMIA  automatizado sistema arquitech</w:t>
            </w:r>
          </w:p>
        </w:tc>
        <w:tc>
          <w:tcPr>
            <w:tcW w:w="1701"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Determinaciones</w:t>
            </w:r>
          </w:p>
        </w:tc>
        <w:tc>
          <w:tcPr>
            <w:tcW w:w="1134" w:type="dxa"/>
            <w:tcBorders>
              <w:top w:val="nil"/>
              <w:left w:val="nil"/>
              <w:bottom w:val="single" w:sz="8" w:space="0" w:color="auto"/>
              <w:right w:val="single" w:sz="8" w:space="0" w:color="auto"/>
            </w:tcBorders>
            <w:noWrap/>
            <w:hideMark/>
          </w:tcPr>
          <w:p w:rsidR="00D9071C" w:rsidRDefault="00D9071C" w:rsidP="00D9071C">
            <w:pPr>
              <w:spacing w:after="0"/>
              <w:jc w:val="center"/>
              <w:rPr>
                <w:rFonts w:ascii="Times New Roman" w:hAnsi="Times New Roman"/>
                <w:sz w:val="24"/>
              </w:rPr>
            </w:pPr>
            <w:r>
              <w:rPr>
                <w:rFonts w:eastAsia="Times New Roman" w:cs="Times New Roman"/>
                <w:color w:val="000000"/>
                <w:szCs w:val="24"/>
                <w:lang w:val="es-ES" w:eastAsia="es-AR"/>
              </w:rPr>
              <w:t>1500</w:t>
            </w:r>
          </w:p>
        </w:tc>
      </w:tr>
      <w:tr w:rsidR="00D9071C" w:rsidTr="00D9071C">
        <w:trPr>
          <w:trHeight w:val="324"/>
        </w:trPr>
        <w:tc>
          <w:tcPr>
            <w:tcW w:w="994" w:type="dxa"/>
            <w:tcBorders>
              <w:top w:val="nil"/>
              <w:left w:val="single" w:sz="8" w:space="0" w:color="auto"/>
              <w:bottom w:val="single" w:sz="8" w:space="0" w:color="auto"/>
              <w:right w:val="single" w:sz="8" w:space="0" w:color="auto"/>
            </w:tcBorders>
            <w:vAlign w:val="center"/>
            <w:hideMark/>
          </w:tcPr>
          <w:p w:rsidR="00D9071C" w:rsidRDefault="00D9071C" w:rsidP="00D9071C">
            <w:pPr>
              <w:spacing w:after="0"/>
              <w:jc w:val="right"/>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5</w:t>
            </w:r>
          </w:p>
        </w:tc>
        <w:tc>
          <w:tcPr>
            <w:tcW w:w="5684"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HTLV QL CMIA automatizado sistema arquitech</w:t>
            </w:r>
          </w:p>
        </w:tc>
        <w:tc>
          <w:tcPr>
            <w:tcW w:w="1701"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Determinaciones</w:t>
            </w:r>
          </w:p>
        </w:tc>
        <w:tc>
          <w:tcPr>
            <w:tcW w:w="1134" w:type="dxa"/>
            <w:tcBorders>
              <w:top w:val="nil"/>
              <w:left w:val="nil"/>
              <w:bottom w:val="single" w:sz="8" w:space="0" w:color="auto"/>
              <w:right w:val="single" w:sz="8" w:space="0" w:color="auto"/>
            </w:tcBorders>
            <w:noWrap/>
            <w:hideMark/>
          </w:tcPr>
          <w:p w:rsidR="00D9071C" w:rsidRDefault="00D9071C" w:rsidP="00D9071C">
            <w:pPr>
              <w:spacing w:after="0"/>
              <w:jc w:val="center"/>
              <w:rPr>
                <w:rFonts w:ascii="Times New Roman" w:hAnsi="Times New Roman"/>
                <w:sz w:val="24"/>
              </w:rPr>
            </w:pPr>
            <w:r>
              <w:rPr>
                <w:rFonts w:eastAsia="Times New Roman" w:cs="Times New Roman"/>
                <w:color w:val="000000"/>
                <w:szCs w:val="24"/>
                <w:lang w:val="es-ES" w:eastAsia="es-AR"/>
              </w:rPr>
              <w:t>1500</w:t>
            </w:r>
          </w:p>
        </w:tc>
      </w:tr>
      <w:tr w:rsidR="00D9071C" w:rsidTr="00D9071C">
        <w:trPr>
          <w:trHeight w:val="324"/>
        </w:trPr>
        <w:tc>
          <w:tcPr>
            <w:tcW w:w="994" w:type="dxa"/>
            <w:tcBorders>
              <w:top w:val="nil"/>
              <w:left w:val="single" w:sz="8" w:space="0" w:color="auto"/>
              <w:bottom w:val="single" w:sz="8" w:space="0" w:color="auto"/>
              <w:right w:val="single" w:sz="8" w:space="0" w:color="auto"/>
            </w:tcBorders>
            <w:vAlign w:val="center"/>
            <w:hideMark/>
          </w:tcPr>
          <w:p w:rsidR="00D9071C" w:rsidRDefault="00D9071C" w:rsidP="00D9071C">
            <w:pPr>
              <w:spacing w:after="0"/>
              <w:jc w:val="right"/>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6</w:t>
            </w:r>
          </w:p>
        </w:tc>
        <w:tc>
          <w:tcPr>
            <w:tcW w:w="5684"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HIV: Combo Ag/Ac QL CMIA automatizado sistema arquitech</w:t>
            </w:r>
          </w:p>
        </w:tc>
        <w:tc>
          <w:tcPr>
            <w:tcW w:w="1701"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Determinaciones</w:t>
            </w:r>
          </w:p>
        </w:tc>
        <w:tc>
          <w:tcPr>
            <w:tcW w:w="1134" w:type="dxa"/>
            <w:tcBorders>
              <w:top w:val="nil"/>
              <w:left w:val="nil"/>
              <w:bottom w:val="single" w:sz="8" w:space="0" w:color="auto"/>
              <w:right w:val="single" w:sz="8" w:space="0" w:color="auto"/>
            </w:tcBorders>
            <w:noWrap/>
            <w:hideMark/>
          </w:tcPr>
          <w:p w:rsidR="00D9071C" w:rsidRDefault="00D9071C" w:rsidP="00D9071C">
            <w:pPr>
              <w:spacing w:after="0"/>
              <w:jc w:val="center"/>
              <w:rPr>
                <w:rFonts w:ascii="Times New Roman" w:hAnsi="Times New Roman"/>
                <w:sz w:val="24"/>
              </w:rPr>
            </w:pPr>
            <w:r>
              <w:rPr>
                <w:rFonts w:eastAsia="Times New Roman" w:cs="Times New Roman"/>
                <w:color w:val="000000"/>
                <w:szCs w:val="24"/>
                <w:lang w:val="es-ES" w:eastAsia="es-AR"/>
              </w:rPr>
              <w:t>1500</w:t>
            </w:r>
          </w:p>
        </w:tc>
      </w:tr>
      <w:tr w:rsidR="00D9071C" w:rsidTr="00D9071C">
        <w:trPr>
          <w:trHeight w:val="324"/>
        </w:trPr>
        <w:tc>
          <w:tcPr>
            <w:tcW w:w="994" w:type="dxa"/>
            <w:tcBorders>
              <w:top w:val="nil"/>
              <w:left w:val="single" w:sz="8" w:space="0" w:color="auto"/>
              <w:bottom w:val="single" w:sz="8" w:space="0" w:color="auto"/>
              <w:right w:val="single" w:sz="8" w:space="0" w:color="auto"/>
            </w:tcBorders>
            <w:vAlign w:val="center"/>
            <w:hideMark/>
          </w:tcPr>
          <w:p w:rsidR="00D9071C" w:rsidRDefault="00D9071C" w:rsidP="00D9071C">
            <w:pPr>
              <w:spacing w:after="0"/>
              <w:jc w:val="right"/>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7</w:t>
            </w:r>
          </w:p>
        </w:tc>
        <w:tc>
          <w:tcPr>
            <w:tcW w:w="5684"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HCV Ag QL CMIA automatizado sistema arquitech</w:t>
            </w:r>
          </w:p>
        </w:tc>
        <w:tc>
          <w:tcPr>
            <w:tcW w:w="1701"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Determinaciones</w:t>
            </w:r>
          </w:p>
        </w:tc>
        <w:tc>
          <w:tcPr>
            <w:tcW w:w="1134" w:type="dxa"/>
            <w:tcBorders>
              <w:top w:val="nil"/>
              <w:left w:val="nil"/>
              <w:bottom w:val="single" w:sz="8" w:space="0" w:color="auto"/>
              <w:right w:val="single" w:sz="8" w:space="0" w:color="auto"/>
            </w:tcBorders>
            <w:noWrap/>
            <w:hideMark/>
          </w:tcPr>
          <w:p w:rsidR="00D9071C" w:rsidRDefault="00D9071C" w:rsidP="00D9071C">
            <w:pPr>
              <w:spacing w:after="0"/>
              <w:jc w:val="center"/>
              <w:rPr>
                <w:rFonts w:ascii="Times New Roman" w:hAnsi="Times New Roman"/>
                <w:sz w:val="24"/>
              </w:rPr>
            </w:pPr>
            <w:r>
              <w:rPr>
                <w:rFonts w:eastAsia="Times New Roman" w:cs="Times New Roman"/>
                <w:color w:val="000000"/>
                <w:szCs w:val="24"/>
                <w:lang w:val="es-ES" w:eastAsia="es-AR"/>
              </w:rPr>
              <w:t>1500</w:t>
            </w:r>
          </w:p>
        </w:tc>
      </w:tr>
      <w:tr w:rsidR="00D9071C" w:rsidTr="00D9071C">
        <w:trPr>
          <w:trHeight w:val="324"/>
        </w:trPr>
        <w:tc>
          <w:tcPr>
            <w:tcW w:w="994" w:type="dxa"/>
            <w:tcBorders>
              <w:top w:val="nil"/>
              <w:left w:val="single" w:sz="8" w:space="0" w:color="auto"/>
              <w:bottom w:val="single" w:sz="8" w:space="0" w:color="auto"/>
              <w:right w:val="single" w:sz="8" w:space="0" w:color="auto"/>
            </w:tcBorders>
            <w:vAlign w:val="center"/>
            <w:hideMark/>
          </w:tcPr>
          <w:p w:rsidR="00D9071C" w:rsidRDefault="00D9071C" w:rsidP="00D9071C">
            <w:pPr>
              <w:spacing w:after="0"/>
              <w:jc w:val="right"/>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8</w:t>
            </w:r>
          </w:p>
        </w:tc>
        <w:tc>
          <w:tcPr>
            <w:tcW w:w="5684"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proofErr w:type="spellStart"/>
            <w:r>
              <w:rPr>
                <w:rFonts w:eastAsia="Times New Roman" w:cs="Times New Roman"/>
                <w:color w:val="000000"/>
                <w:szCs w:val="24"/>
                <w:lang w:val="es-ES" w:eastAsia="es-AR"/>
              </w:rPr>
              <w:t>Tacrolimus</w:t>
            </w:r>
            <w:proofErr w:type="spellEnd"/>
            <w:r>
              <w:rPr>
                <w:rFonts w:eastAsia="Times New Roman" w:cs="Times New Roman"/>
                <w:color w:val="000000"/>
                <w:szCs w:val="24"/>
                <w:lang w:val="es-ES" w:eastAsia="es-AR"/>
              </w:rPr>
              <w:t xml:space="preserve"> QL automatizado sistema arquitech</w:t>
            </w:r>
          </w:p>
        </w:tc>
        <w:tc>
          <w:tcPr>
            <w:tcW w:w="1701"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Determinaciones</w:t>
            </w:r>
          </w:p>
        </w:tc>
        <w:tc>
          <w:tcPr>
            <w:tcW w:w="1134" w:type="dxa"/>
            <w:tcBorders>
              <w:top w:val="nil"/>
              <w:left w:val="nil"/>
              <w:bottom w:val="single" w:sz="8" w:space="0" w:color="auto"/>
              <w:right w:val="single" w:sz="8" w:space="0" w:color="auto"/>
            </w:tcBorders>
            <w:noWrap/>
            <w:vAlign w:val="center"/>
            <w:hideMark/>
          </w:tcPr>
          <w:p w:rsidR="00D9071C" w:rsidRDefault="00D9071C" w:rsidP="00D9071C">
            <w:pPr>
              <w:spacing w:after="0"/>
              <w:jc w:val="center"/>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600</w:t>
            </w:r>
          </w:p>
        </w:tc>
      </w:tr>
      <w:tr w:rsidR="00D9071C" w:rsidTr="00D9071C">
        <w:trPr>
          <w:trHeight w:val="324"/>
        </w:trPr>
        <w:tc>
          <w:tcPr>
            <w:tcW w:w="994" w:type="dxa"/>
            <w:tcBorders>
              <w:top w:val="nil"/>
              <w:left w:val="single" w:sz="8" w:space="0" w:color="auto"/>
              <w:bottom w:val="single" w:sz="8" w:space="0" w:color="auto"/>
              <w:right w:val="single" w:sz="8" w:space="0" w:color="auto"/>
            </w:tcBorders>
            <w:vAlign w:val="center"/>
            <w:hideMark/>
          </w:tcPr>
          <w:p w:rsidR="00D9071C" w:rsidRDefault="00D9071C" w:rsidP="00D9071C">
            <w:pPr>
              <w:spacing w:after="0"/>
              <w:jc w:val="right"/>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9</w:t>
            </w:r>
          </w:p>
        </w:tc>
        <w:tc>
          <w:tcPr>
            <w:tcW w:w="5684"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 xml:space="preserve">Ciclosporina QL automatizado sistema </w:t>
            </w:r>
            <w:proofErr w:type="spellStart"/>
            <w:r>
              <w:rPr>
                <w:rFonts w:eastAsia="Times New Roman" w:cs="Times New Roman"/>
                <w:color w:val="000000"/>
                <w:szCs w:val="24"/>
                <w:lang w:val="es-ES" w:eastAsia="es-AR"/>
              </w:rPr>
              <w:t>architech</w:t>
            </w:r>
            <w:proofErr w:type="spellEnd"/>
          </w:p>
        </w:tc>
        <w:tc>
          <w:tcPr>
            <w:tcW w:w="1701"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Determinaciones</w:t>
            </w:r>
          </w:p>
        </w:tc>
        <w:tc>
          <w:tcPr>
            <w:tcW w:w="1134" w:type="dxa"/>
            <w:tcBorders>
              <w:top w:val="nil"/>
              <w:left w:val="nil"/>
              <w:bottom w:val="single" w:sz="8" w:space="0" w:color="auto"/>
              <w:right w:val="single" w:sz="8" w:space="0" w:color="auto"/>
            </w:tcBorders>
            <w:noWrap/>
            <w:vAlign w:val="center"/>
            <w:hideMark/>
          </w:tcPr>
          <w:p w:rsidR="00D9071C" w:rsidRDefault="00D9071C" w:rsidP="00D9071C">
            <w:pPr>
              <w:spacing w:after="0"/>
              <w:jc w:val="center"/>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200</w:t>
            </w:r>
          </w:p>
        </w:tc>
      </w:tr>
      <w:tr w:rsidR="00D9071C" w:rsidTr="00D9071C">
        <w:trPr>
          <w:trHeight w:val="324"/>
        </w:trPr>
        <w:tc>
          <w:tcPr>
            <w:tcW w:w="994" w:type="dxa"/>
            <w:tcBorders>
              <w:top w:val="nil"/>
              <w:left w:val="single" w:sz="8" w:space="0" w:color="auto"/>
              <w:bottom w:val="single" w:sz="8" w:space="0" w:color="auto"/>
              <w:right w:val="single" w:sz="8" w:space="0" w:color="auto"/>
            </w:tcBorders>
            <w:vAlign w:val="center"/>
            <w:hideMark/>
          </w:tcPr>
          <w:p w:rsidR="00D9071C" w:rsidRDefault="00D9071C" w:rsidP="00D9071C">
            <w:pPr>
              <w:spacing w:after="0"/>
              <w:jc w:val="right"/>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10</w:t>
            </w:r>
          </w:p>
        </w:tc>
        <w:tc>
          <w:tcPr>
            <w:tcW w:w="5684"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proofErr w:type="spellStart"/>
            <w:r>
              <w:rPr>
                <w:rFonts w:eastAsia="Times New Roman" w:cs="Times New Roman"/>
                <w:color w:val="000000"/>
                <w:szCs w:val="24"/>
                <w:lang w:val="es-ES" w:eastAsia="es-AR"/>
              </w:rPr>
              <w:t>Sifilis</w:t>
            </w:r>
            <w:proofErr w:type="spellEnd"/>
            <w:r>
              <w:rPr>
                <w:rFonts w:eastAsia="Times New Roman" w:cs="Times New Roman"/>
                <w:color w:val="000000"/>
                <w:szCs w:val="24"/>
                <w:lang w:val="es-ES" w:eastAsia="es-AR"/>
              </w:rPr>
              <w:t xml:space="preserve"> DETERMINE, inmunocromatografía lectura visual</w:t>
            </w:r>
          </w:p>
        </w:tc>
        <w:tc>
          <w:tcPr>
            <w:tcW w:w="1701"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Determinaciones</w:t>
            </w:r>
          </w:p>
        </w:tc>
        <w:tc>
          <w:tcPr>
            <w:tcW w:w="1134" w:type="dxa"/>
            <w:tcBorders>
              <w:top w:val="nil"/>
              <w:left w:val="nil"/>
              <w:bottom w:val="single" w:sz="8" w:space="0" w:color="auto"/>
              <w:right w:val="single" w:sz="8" w:space="0" w:color="auto"/>
            </w:tcBorders>
            <w:noWrap/>
            <w:vAlign w:val="center"/>
            <w:hideMark/>
          </w:tcPr>
          <w:p w:rsidR="00D9071C" w:rsidRDefault="00D9071C" w:rsidP="00D9071C">
            <w:pPr>
              <w:spacing w:after="0"/>
              <w:jc w:val="center"/>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100</w:t>
            </w:r>
          </w:p>
        </w:tc>
      </w:tr>
      <w:tr w:rsidR="00D9071C" w:rsidTr="00D9071C">
        <w:trPr>
          <w:trHeight w:val="324"/>
        </w:trPr>
        <w:tc>
          <w:tcPr>
            <w:tcW w:w="994" w:type="dxa"/>
            <w:tcBorders>
              <w:top w:val="nil"/>
              <w:left w:val="single" w:sz="8" w:space="0" w:color="auto"/>
              <w:bottom w:val="single" w:sz="8" w:space="0" w:color="auto"/>
              <w:right w:val="single" w:sz="8" w:space="0" w:color="auto"/>
            </w:tcBorders>
            <w:vAlign w:val="center"/>
            <w:hideMark/>
          </w:tcPr>
          <w:p w:rsidR="00D9071C" w:rsidRDefault="00D9071C" w:rsidP="00D9071C">
            <w:pPr>
              <w:spacing w:after="0"/>
              <w:jc w:val="right"/>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11</w:t>
            </w:r>
          </w:p>
        </w:tc>
        <w:tc>
          <w:tcPr>
            <w:tcW w:w="5684"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HIV I/II DETERMINE, inmunocromatografía lectura visual</w:t>
            </w:r>
          </w:p>
        </w:tc>
        <w:tc>
          <w:tcPr>
            <w:tcW w:w="1701" w:type="dxa"/>
            <w:tcBorders>
              <w:top w:val="nil"/>
              <w:left w:val="nil"/>
              <w:bottom w:val="single" w:sz="8" w:space="0" w:color="auto"/>
              <w:right w:val="single" w:sz="8" w:space="0" w:color="auto"/>
            </w:tcBorders>
            <w:noWrap/>
            <w:vAlign w:val="center"/>
            <w:hideMark/>
          </w:tcPr>
          <w:p w:rsidR="00D9071C" w:rsidRDefault="00D9071C" w:rsidP="00D9071C">
            <w:pPr>
              <w:spacing w:after="0"/>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Determinaciones</w:t>
            </w:r>
          </w:p>
        </w:tc>
        <w:tc>
          <w:tcPr>
            <w:tcW w:w="1134" w:type="dxa"/>
            <w:tcBorders>
              <w:top w:val="nil"/>
              <w:left w:val="nil"/>
              <w:bottom w:val="single" w:sz="8" w:space="0" w:color="auto"/>
              <w:right w:val="single" w:sz="8" w:space="0" w:color="auto"/>
            </w:tcBorders>
            <w:noWrap/>
            <w:vAlign w:val="center"/>
            <w:hideMark/>
          </w:tcPr>
          <w:p w:rsidR="00D9071C" w:rsidRDefault="00D9071C" w:rsidP="00D9071C">
            <w:pPr>
              <w:spacing w:after="0"/>
              <w:jc w:val="center"/>
              <w:rPr>
                <w:rFonts w:ascii="Times New Roman" w:eastAsia="Times New Roman" w:hAnsi="Times New Roman" w:cs="Times New Roman"/>
                <w:color w:val="000000"/>
                <w:sz w:val="24"/>
                <w:szCs w:val="24"/>
                <w:lang w:eastAsia="es-AR"/>
              </w:rPr>
            </w:pPr>
            <w:r>
              <w:rPr>
                <w:rFonts w:eastAsia="Times New Roman" w:cs="Times New Roman"/>
                <w:color w:val="000000"/>
                <w:szCs w:val="24"/>
                <w:lang w:val="es-ES" w:eastAsia="es-AR"/>
              </w:rPr>
              <w:t>100</w:t>
            </w:r>
          </w:p>
        </w:tc>
      </w:tr>
    </w:tbl>
    <w:p w:rsidR="00D9071C" w:rsidRPr="00284C7A" w:rsidRDefault="00D9071C" w:rsidP="00D9071C">
      <w:pPr>
        <w:pStyle w:val="Sangranormal"/>
        <w:tabs>
          <w:tab w:val="left" w:pos="1200"/>
          <w:tab w:val="left" w:pos="1680"/>
        </w:tabs>
        <w:ind w:left="0"/>
        <w:jc w:val="both"/>
        <w:rPr>
          <w:rFonts w:ascii="Verdana" w:hAnsi="Verdana" w:cs="Arial"/>
          <w:color w:val="FF0000"/>
          <w:sz w:val="28"/>
          <w:szCs w:val="20"/>
        </w:rPr>
      </w:pPr>
    </w:p>
    <w:p w:rsidR="00D9071C" w:rsidRDefault="00D9071C" w:rsidP="00D9071C">
      <w:pPr>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ANEXO I </w:t>
      </w:r>
    </w:p>
    <w:p w:rsidR="00D9071C" w:rsidRDefault="00D9071C" w:rsidP="00D9071C">
      <w:pPr>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Clausulas particulares para la compra de reactivos</w:t>
      </w:r>
    </w:p>
    <w:p w:rsidR="00D9071C" w:rsidRDefault="00D9071C" w:rsidP="00D9071C">
      <w:pPr>
        <w:spacing w:after="0" w:line="240" w:lineRule="auto"/>
        <w:jc w:val="center"/>
        <w:rPr>
          <w:rFonts w:ascii="Times New Roman" w:eastAsia="Times New Roman" w:hAnsi="Times New Roman" w:cs="Times New Roman"/>
          <w:b/>
          <w:sz w:val="24"/>
          <w:szCs w:val="24"/>
          <w:lang w:val="es-ES" w:eastAsia="es-ES"/>
        </w:rPr>
      </w:pPr>
    </w:p>
    <w:p w:rsidR="00D9071C" w:rsidRPr="00D9071C" w:rsidRDefault="00D9071C" w:rsidP="00D9071C">
      <w:r>
        <w:rPr>
          <w:rFonts w:ascii="Times New Roman" w:eastAsia="Times New Roman" w:hAnsi="Times New Roman" w:cs="Times New Roman"/>
          <w:sz w:val="24"/>
          <w:szCs w:val="24"/>
          <w:lang w:val="es-ES" w:eastAsia="es-ES"/>
        </w:rPr>
        <w:t>PROCESO: Compra Directa N° 67/20 Ley 783-P.</w:t>
      </w:r>
    </w:p>
    <w:p w:rsidR="00D9071C" w:rsidRPr="00D9071C" w:rsidRDefault="00D9071C" w:rsidP="00D9071C">
      <w:r>
        <w:rPr>
          <w:rFonts w:ascii="Times New Roman" w:eastAsia="Times New Roman" w:hAnsi="Times New Roman" w:cs="Times New Roman"/>
          <w:sz w:val="24"/>
          <w:szCs w:val="24"/>
          <w:lang w:val="es-ES" w:eastAsia="es-ES"/>
        </w:rPr>
        <w:t>EXPEDIENTE: 800-004139-2020.</w:t>
      </w:r>
    </w:p>
    <w:p w:rsidR="00D9071C" w:rsidRPr="00D9071C" w:rsidRDefault="00D9071C" w:rsidP="00D9071C">
      <w:pPr>
        <w:jc w:val="both"/>
      </w:pPr>
      <w:r>
        <w:rPr>
          <w:rFonts w:ascii="Times New Roman" w:eastAsia="Times New Roman" w:hAnsi="Times New Roman" w:cs="Times New Roman"/>
          <w:sz w:val="24"/>
          <w:szCs w:val="24"/>
          <w:lang w:val="es-ES" w:eastAsia="es-ES"/>
        </w:rPr>
        <w:t>OBJETO:</w:t>
      </w:r>
      <w:r>
        <w:rPr>
          <w:rFonts w:ascii="Times New Roman" w:eastAsia="Times New Roman" w:hAnsi="Times New Roman" w:cs="Times New Roman"/>
          <w:color w:val="FF0000"/>
          <w:sz w:val="24"/>
          <w:szCs w:val="24"/>
          <w:lang w:val="es-ES" w:eastAsia="es-ES"/>
        </w:rPr>
        <w:t xml:space="preserve"> </w:t>
      </w:r>
      <w:r>
        <w:rPr>
          <w:rFonts w:ascii="Times New Roman" w:eastAsia="Times New Roman" w:hAnsi="Times New Roman" w:cs="Times New Roman"/>
          <w:sz w:val="24"/>
          <w:szCs w:val="24"/>
          <w:lang w:val="es-ES" w:eastAsia="es-ES"/>
        </w:rPr>
        <w:t>Compra de reactivos para determinaciones de inmunoserología de banco de sangre del Instituto Provincial de Hemoterapia (IPHEM), dependiente del Ministerio de Salud Pública.</w:t>
      </w:r>
    </w:p>
    <w:p w:rsidR="00D9071C" w:rsidRPr="00D9071C" w:rsidRDefault="00D9071C" w:rsidP="00D9071C">
      <w:pPr>
        <w:jc w:val="both"/>
      </w:pPr>
      <w:r>
        <w:rPr>
          <w:rFonts w:ascii="Times New Roman" w:eastAsia="Times New Roman" w:hAnsi="Times New Roman" w:cs="Times New Roman"/>
          <w:sz w:val="24"/>
          <w:szCs w:val="24"/>
          <w:lang w:val="es-ES" w:eastAsia="es-ES"/>
        </w:rPr>
        <w:t>VALOR DEL PLIEGO: $ 4.000,00.-  (Pesos Cuatro Mil con 00/100.-).</w:t>
      </w:r>
    </w:p>
    <w:p w:rsidR="00D9071C" w:rsidRPr="00D9071C" w:rsidRDefault="00D9071C" w:rsidP="00D9071C">
      <w:pPr>
        <w:jc w:val="both"/>
      </w:pPr>
      <w:r>
        <w:rPr>
          <w:rFonts w:ascii="Times New Roman" w:eastAsia="Times New Roman" w:hAnsi="Times New Roman" w:cs="Times New Roman"/>
          <w:sz w:val="24"/>
          <w:szCs w:val="24"/>
          <w:lang w:val="es-ES" w:eastAsia="es-ES"/>
        </w:rPr>
        <w:t>CÓDIGO SUGERIDO DE ACTIVIDAD: 202908 – 465350.</w:t>
      </w:r>
    </w:p>
    <w:p w:rsidR="00D9071C" w:rsidRDefault="00D9071C" w:rsidP="00D9071C">
      <w:pPr>
        <w:spacing w:after="100" w:afterAutospacing="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La propuesta (Sobre General) será </w:t>
      </w:r>
      <w:proofErr w:type="spellStart"/>
      <w:r>
        <w:rPr>
          <w:rFonts w:ascii="Times New Roman" w:hAnsi="Times New Roman" w:cs="Times New Roman"/>
          <w:bCs/>
          <w:sz w:val="24"/>
          <w:szCs w:val="24"/>
          <w:lang w:val="es-ES_tradnl"/>
        </w:rPr>
        <w:t>recepcionada</w:t>
      </w:r>
      <w:proofErr w:type="spellEnd"/>
      <w:r>
        <w:rPr>
          <w:rFonts w:ascii="Times New Roman" w:hAnsi="Times New Roman" w:cs="Times New Roman"/>
          <w:bCs/>
          <w:sz w:val="24"/>
          <w:szCs w:val="24"/>
          <w:lang w:val="es-ES_tradnl"/>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D9071C" w:rsidRDefault="00D9071C" w:rsidP="00D9071C">
      <w:pPr>
        <w:numPr>
          <w:ilvl w:val="0"/>
          <w:numId w:val="1"/>
        </w:numPr>
        <w:spacing w:after="100" w:afterAutospacing="1" w:line="240" w:lineRule="auto"/>
        <w:ind w:left="0" w:firstLine="0"/>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Formas de presentación de la Propuesta</w:t>
      </w:r>
      <w:r>
        <w:rPr>
          <w:rFonts w:ascii="Times New Roman" w:hAnsi="Times New Roman" w:cs="Times New Roman"/>
          <w:bCs/>
          <w:sz w:val="24"/>
          <w:szCs w:val="24"/>
          <w:lang w:val="es-ES_tradnl"/>
        </w:rPr>
        <w:t>:</w:t>
      </w:r>
    </w:p>
    <w:p w:rsidR="00D9071C" w:rsidRDefault="00D9071C" w:rsidP="00D9071C">
      <w:pPr>
        <w:widowControl w:val="0"/>
        <w:spacing w:after="100" w:afterAutospacing="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lastRenderedPageBreak/>
        <w:t xml:space="preserve">La Propuesta se presentará en </w:t>
      </w:r>
      <w:r>
        <w:rPr>
          <w:rFonts w:ascii="Times New Roman" w:hAnsi="Times New Roman" w:cs="Times New Roman"/>
          <w:b/>
          <w:bCs/>
          <w:sz w:val="24"/>
          <w:szCs w:val="24"/>
          <w:lang w:val="es-ES_tradnl"/>
        </w:rPr>
        <w:t>Sobre General</w:t>
      </w:r>
      <w:r>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Pr>
          <w:rFonts w:ascii="Times New Roman" w:hAnsi="Times New Roman" w:cs="Times New Roman"/>
          <w:b/>
          <w:bCs/>
          <w:sz w:val="24"/>
          <w:szCs w:val="24"/>
          <w:lang w:val="es-ES_tradnl"/>
        </w:rPr>
        <w:t>Sobre N°1</w:t>
      </w:r>
      <w:r>
        <w:rPr>
          <w:rFonts w:ascii="Times New Roman" w:hAnsi="Times New Roman" w:cs="Times New Roman"/>
          <w:bCs/>
          <w:sz w:val="24"/>
          <w:szCs w:val="24"/>
          <w:lang w:val="es-ES_tradnl"/>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Pr>
          <w:rFonts w:ascii="Times New Roman" w:hAnsi="Times New Roman" w:cs="Times New Roman"/>
          <w:b/>
          <w:bCs/>
          <w:sz w:val="24"/>
          <w:szCs w:val="24"/>
          <w:lang w:val="es-ES_tradnl"/>
        </w:rPr>
        <w:t>Sobre N° 2</w:t>
      </w:r>
      <w:r>
        <w:rPr>
          <w:rFonts w:ascii="Times New Roman" w:hAnsi="Times New Roman" w:cs="Times New Roman"/>
          <w:bCs/>
          <w:sz w:val="24"/>
          <w:szCs w:val="24"/>
          <w:lang w:val="es-ES_tradnl"/>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D9071C" w:rsidRDefault="00D9071C" w:rsidP="00D9071C">
      <w:pPr>
        <w:widowControl w:val="0"/>
        <w:spacing w:after="100" w:afterAutospacing="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D9071C" w:rsidRDefault="00D9071C" w:rsidP="00D9071C">
      <w:pPr>
        <w:widowControl w:val="0"/>
        <w:numPr>
          <w:ilvl w:val="0"/>
          <w:numId w:val="2"/>
        </w:numPr>
        <w:spacing w:after="100" w:afterAutospacing="1" w:line="240" w:lineRule="auto"/>
        <w:ind w:left="567"/>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La documentación exigida (Sobre N° 1) será:</w:t>
      </w:r>
    </w:p>
    <w:p w:rsidR="00D9071C" w:rsidRDefault="00D9071C" w:rsidP="00D9071C">
      <w:pPr>
        <w:widowControl w:val="0"/>
        <w:spacing w:after="100" w:afterAutospacing="1"/>
        <w:ind w:left="425"/>
        <w:jc w:val="both"/>
        <w:rPr>
          <w:rFonts w:ascii="Times New Roman" w:hAnsi="Times New Roman" w:cs="Times New Roman"/>
          <w:b/>
          <w:bCs/>
          <w:sz w:val="24"/>
          <w:szCs w:val="24"/>
          <w:u w:val="single"/>
          <w:lang w:val="es-ES_tradnl"/>
        </w:rPr>
      </w:pPr>
      <w:r>
        <w:rPr>
          <w:rFonts w:ascii="Times New Roman" w:hAnsi="Times New Roman" w:cs="Times New Roman"/>
          <w:b/>
          <w:bCs/>
          <w:sz w:val="24"/>
          <w:szCs w:val="24"/>
          <w:u w:val="single"/>
          <w:lang w:val="es-ES_tradnl"/>
        </w:rPr>
        <w:t>DOCUMENTACIÓN GENERAL</w:t>
      </w:r>
    </w:p>
    <w:p w:rsidR="00D9071C" w:rsidRDefault="00D9071C" w:rsidP="00D9071C">
      <w:pPr>
        <w:numPr>
          <w:ilvl w:val="0"/>
          <w:numId w:val="3"/>
        </w:num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D9071C" w:rsidRDefault="00D9071C" w:rsidP="00D9071C">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Certificado de Destinatario de Pago del Estado Provincial o RUPE (Registro Único de Proveedores del Estado).</w:t>
      </w:r>
    </w:p>
    <w:p w:rsidR="00D9071C" w:rsidRDefault="00D9071C" w:rsidP="00D9071C">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D9071C" w:rsidRDefault="00D9071C" w:rsidP="00D9071C">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D9071C" w:rsidRDefault="00D9071C" w:rsidP="00D9071C">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Copia de constancia de inscripción en la AFIP vigente.</w:t>
      </w:r>
    </w:p>
    <w:p w:rsidR="00D9071C" w:rsidRDefault="00D9071C" w:rsidP="00D9071C">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Certificado o Constancia de Inscripción de Ingresos Brutos vigente, con la actividad o rubro que se cotiza.</w:t>
      </w:r>
    </w:p>
    <w:p w:rsidR="00D9071C" w:rsidRDefault="00D9071C" w:rsidP="00D9071C">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Deberá presentar: </w:t>
      </w:r>
    </w:p>
    <w:p w:rsidR="00D9071C" w:rsidRDefault="00D9071C" w:rsidP="00D9071C">
      <w:pPr>
        <w:numPr>
          <w:ilvl w:val="0"/>
          <w:numId w:val="4"/>
        </w:numPr>
        <w:suppressAutoHyphens/>
        <w:spacing w:after="120" w:line="240" w:lineRule="auto"/>
        <w:ind w:left="127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D9071C" w:rsidRDefault="00D9071C" w:rsidP="00D9071C">
      <w:pPr>
        <w:numPr>
          <w:ilvl w:val="0"/>
          <w:numId w:val="4"/>
        </w:numPr>
        <w:suppressAutoHyphens/>
        <w:spacing w:after="120" w:line="240" w:lineRule="auto"/>
        <w:ind w:left="127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D9071C" w:rsidRDefault="00D9071C" w:rsidP="00D9071C">
      <w:pPr>
        <w:numPr>
          <w:ilvl w:val="0"/>
          <w:numId w:val="4"/>
        </w:numPr>
        <w:suppressAutoHyphens/>
        <w:spacing w:after="120" w:line="240" w:lineRule="auto"/>
        <w:ind w:left="127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Constituir Domicilio Legal para el presente trámite en la Provincia de San Juan.</w:t>
      </w:r>
    </w:p>
    <w:p w:rsidR="00D9071C" w:rsidRDefault="00D9071C" w:rsidP="00D9071C">
      <w:pPr>
        <w:numPr>
          <w:ilvl w:val="0"/>
          <w:numId w:val="4"/>
        </w:numPr>
        <w:suppressAutoHyphens/>
        <w:spacing w:after="120" w:line="240" w:lineRule="auto"/>
        <w:ind w:left="127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lastRenderedPageBreak/>
        <w:t xml:space="preserve">Declarar la aceptación expresa de la jurisdicción de los Tribunales Provinciales, renunciando al Fuero Federal, para todas las cuestiones que se susciten del presente llamado. </w:t>
      </w:r>
    </w:p>
    <w:p w:rsidR="00D9071C" w:rsidRDefault="00D9071C" w:rsidP="00D9071C">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En caso de </w:t>
      </w:r>
      <w:r>
        <w:rPr>
          <w:rFonts w:ascii="Times New Roman" w:hAnsi="Times New Roman" w:cs="Times New Roman"/>
          <w:b/>
          <w:bCs/>
          <w:sz w:val="24"/>
          <w:szCs w:val="24"/>
          <w:lang w:val="es-ES_tradnl"/>
        </w:rPr>
        <w:t>Personas Jurídicas</w:t>
      </w:r>
      <w:r>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D9071C" w:rsidRDefault="00D9071C" w:rsidP="00D9071C">
      <w:pPr>
        <w:spacing w:after="120"/>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En caso de </w:t>
      </w:r>
      <w:r>
        <w:rPr>
          <w:rFonts w:ascii="Times New Roman" w:hAnsi="Times New Roman" w:cs="Times New Roman"/>
          <w:b/>
          <w:bCs/>
          <w:sz w:val="24"/>
          <w:szCs w:val="24"/>
          <w:lang w:val="es-ES_tradnl"/>
        </w:rPr>
        <w:t xml:space="preserve">Personas Físicas </w:t>
      </w:r>
      <w:r>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D9071C" w:rsidRDefault="00D9071C" w:rsidP="00D9071C">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D9071C" w:rsidRDefault="00D9071C" w:rsidP="00D9071C">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D9071C" w:rsidRDefault="00D9071C" w:rsidP="00D9071C">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Garantía de Oferta</w:t>
      </w:r>
      <w:r>
        <w:rPr>
          <w:rFonts w:ascii="Times New Roman" w:hAnsi="Times New Roman" w:cs="Times New Roman"/>
          <w:bCs/>
          <w:sz w:val="24"/>
          <w:szCs w:val="24"/>
          <w:lang w:val="es-ES_tradnl"/>
        </w:rPr>
        <w:t xml:space="preserve">: Presentar garantía equivalente al </w:t>
      </w:r>
      <w:r>
        <w:rPr>
          <w:rFonts w:ascii="Times New Roman" w:hAnsi="Times New Roman" w:cs="Times New Roman"/>
          <w:b/>
          <w:bCs/>
          <w:sz w:val="24"/>
          <w:szCs w:val="24"/>
          <w:lang w:val="es-ES_tradnl"/>
        </w:rPr>
        <w:t>1%</w:t>
      </w:r>
      <w:r>
        <w:rPr>
          <w:rFonts w:ascii="Times New Roman" w:hAnsi="Times New Roman" w:cs="Times New Roman"/>
          <w:bCs/>
          <w:sz w:val="24"/>
          <w:szCs w:val="24"/>
          <w:lang w:val="es-ES_tradnl"/>
        </w:rPr>
        <w:t xml:space="preserve"> del mayor valor total ofertado en cualquiera de las siguientes formas: </w:t>
      </w:r>
    </w:p>
    <w:p w:rsidR="00D9071C" w:rsidRDefault="00D9071C" w:rsidP="00D9071C">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D9071C" w:rsidRDefault="00D9071C" w:rsidP="00D9071C">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D9071C" w:rsidRDefault="00D9071C" w:rsidP="00D9071C">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Pr>
          <w:rFonts w:ascii="Times New Roman" w:hAnsi="Times New Roman" w:cs="Times New Roman"/>
          <w:bCs/>
          <w:sz w:val="24"/>
          <w:szCs w:val="24"/>
          <w:u w:val="single"/>
          <w:lang w:val="es-ES_tradnl"/>
        </w:rPr>
        <w:t>Crédito Bancario:</w:t>
      </w:r>
      <w:r>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D9071C" w:rsidRDefault="00D9071C" w:rsidP="00D9071C">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D9071C" w:rsidRDefault="00D9071C" w:rsidP="00D9071C">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D9071C" w:rsidRDefault="00D9071C" w:rsidP="00D9071C">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D9071C" w:rsidRDefault="00D9071C" w:rsidP="00D9071C">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comprobante de la boleta o transferencia deberá ser incluido en el Sobre con la Documentación solicitada.</w:t>
      </w:r>
    </w:p>
    <w:p w:rsidR="00D9071C" w:rsidRDefault="00D9071C" w:rsidP="00D9071C">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D9071C" w:rsidRDefault="00D9071C" w:rsidP="00D9071C">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lastRenderedPageBreak/>
        <w:t>- Firma certificada por Escribano Publico o Entidad Bancaria.</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D9071C" w:rsidRDefault="00D9071C" w:rsidP="00D9071C">
      <w:pPr>
        <w:pStyle w:val="NormalWeb"/>
        <w:spacing w:before="0" w:beforeAutospacing="0" w:after="0" w:line="276" w:lineRule="auto"/>
        <w:jc w:val="both"/>
        <w:rPr>
          <w:rFonts w:eastAsiaTheme="minorHAnsi"/>
          <w:bCs/>
          <w:lang w:val="es-ES_tradnl" w:eastAsia="en-US"/>
        </w:rPr>
      </w:pPr>
    </w:p>
    <w:p w:rsidR="00D9071C" w:rsidRDefault="00D9071C" w:rsidP="00D9071C">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D9071C" w:rsidRDefault="00D9071C" w:rsidP="00D9071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D9071C" w:rsidRDefault="00D9071C" w:rsidP="00D9071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D9071C" w:rsidRDefault="00D9071C" w:rsidP="00D9071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D9071C" w:rsidRDefault="00D9071C" w:rsidP="00D9071C">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D9071C" w:rsidRDefault="00D9071C" w:rsidP="00D9071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D9071C" w:rsidRDefault="00D9071C" w:rsidP="00D9071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D9071C" w:rsidRDefault="00D9071C" w:rsidP="00D9071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D9071C" w:rsidRDefault="00D9071C" w:rsidP="00D9071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D9071C" w:rsidRDefault="00D9071C" w:rsidP="00D9071C">
      <w:pPr>
        <w:suppressAutoHyphens/>
        <w:spacing w:after="120" w:line="240" w:lineRule="auto"/>
        <w:ind w:left="851"/>
        <w:jc w:val="both"/>
        <w:rPr>
          <w:rFonts w:ascii="Times New Roman" w:hAnsi="Times New Roman" w:cs="Times New Roman"/>
          <w:bCs/>
          <w:sz w:val="24"/>
          <w:szCs w:val="24"/>
          <w:lang w:val="es-ES_tradnl"/>
        </w:rPr>
      </w:pPr>
    </w:p>
    <w:p w:rsidR="00D9071C" w:rsidRDefault="00D9071C" w:rsidP="00D9071C">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Compra de Pliego</w:t>
      </w:r>
      <w:r>
        <w:rPr>
          <w:rFonts w:ascii="Times New Roman" w:hAnsi="Times New Roman" w:cs="Times New Roman"/>
          <w:bCs/>
          <w:sz w:val="24"/>
          <w:szCs w:val="24"/>
          <w:lang w:val="es-ES_tradnl"/>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D9071C" w:rsidRDefault="00D9071C" w:rsidP="00D9071C">
      <w:pPr>
        <w:suppressAutoHyphens/>
        <w:spacing w:after="120"/>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caso de realizar la adquisición del presente mediante transferencia bancaria la misma deberá ser verificada en el Departamento Tesorería de este Ministerio previo a su incorporación al Sobre N° 1 de Documentación.</w:t>
      </w:r>
    </w:p>
    <w:p w:rsidR="00D9071C" w:rsidRDefault="00D9071C" w:rsidP="00D9071C">
      <w:pPr>
        <w:widowControl w:val="0"/>
        <w:numPr>
          <w:ilvl w:val="0"/>
          <w:numId w:val="3"/>
        </w:numPr>
        <w:suppressAutoHyphens/>
        <w:spacing w:after="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Mantenimiento de Oferta</w:t>
      </w:r>
      <w:r>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D9071C" w:rsidRPr="00D9071C" w:rsidRDefault="00D9071C" w:rsidP="00D9071C">
      <w:pPr>
        <w:widowControl w:val="0"/>
        <w:ind w:left="851"/>
        <w:jc w:val="both"/>
        <w:rPr>
          <w:bCs/>
          <w:lang w:val="es-ES_tradnl"/>
        </w:rPr>
      </w:pPr>
      <w:r>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D9071C" w:rsidRDefault="00D9071C" w:rsidP="00D9071C">
      <w:pPr>
        <w:widowControl w:val="0"/>
        <w:numPr>
          <w:ilvl w:val="0"/>
          <w:numId w:val="2"/>
        </w:numPr>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En el Sobre N° 2</w:t>
      </w:r>
      <w:r>
        <w:rPr>
          <w:rFonts w:ascii="Times New Roman" w:hAnsi="Times New Roman" w:cs="Times New Roman"/>
          <w:bCs/>
          <w:sz w:val="24"/>
          <w:szCs w:val="24"/>
          <w:lang w:val="es-ES_tradnl"/>
        </w:rPr>
        <w:t xml:space="preserve"> se deberá incorporar la Oferta Económica Principal y el detalle técnico que la acompañe, todo será por duplicado, firmado y aclarado en cada cara escrita de cada hoja por separado de la documentación legal exigida.</w:t>
      </w:r>
    </w:p>
    <w:p w:rsidR="00D9071C" w:rsidRDefault="00D9071C" w:rsidP="00D9071C">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D9071C" w:rsidRDefault="00D9071C" w:rsidP="00D9071C">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D9071C" w:rsidRPr="002C7F79" w:rsidRDefault="00D9071C" w:rsidP="00D9071C">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caso de ofertar más de una marca o en caso de hacer uso de lo dispuesto en el Art. 10° Inc. g) de las Clausulas Generales, deberán ir en sobre separado y como Oferta Alternativa de la Principal.</w:t>
      </w:r>
    </w:p>
    <w:p w:rsidR="00D9071C" w:rsidRDefault="00D9071C" w:rsidP="00D9071C">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precio ofertado deberá ser:</w:t>
      </w:r>
    </w:p>
    <w:p w:rsidR="00D9071C" w:rsidRDefault="00D9071C" w:rsidP="00D9071C">
      <w:pPr>
        <w:numPr>
          <w:ilvl w:val="0"/>
          <w:numId w:val="7"/>
        </w:numPr>
        <w:suppressAutoHyphens/>
        <w:spacing w:after="0" w:line="240" w:lineRule="auto"/>
        <w:ind w:left="993"/>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Pesos, escrito en Números y el total general ofertado expresado en números y letras.</w:t>
      </w:r>
    </w:p>
    <w:p w:rsidR="00D9071C" w:rsidRDefault="00D9071C" w:rsidP="00D9071C">
      <w:pPr>
        <w:numPr>
          <w:ilvl w:val="0"/>
          <w:numId w:val="7"/>
        </w:numPr>
        <w:suppressAutoHyphens/>
        <w:spacing w:after="100" w:afterAutospacing="1" w:line="240" w:lineRule="auto"/>
        <w:ind w:left="993"/>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D9071C" w:rsidRDefault="00D9071C" w:rsidP="00D9071C">
      <w:pPr>
        <w:numPr>
          <w:ilvl w:val="0"/>
          <w:numId w:val="7"/>
        </w:numPr>
        <w:suppressAutoHyphens/>
        <w:spacing w:after="100" w:afterAutospacing="1" w:line="240" w:lineRule="auto"/>
        <w:ind w:left="993"/>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y hacerlo en sobre separado. Deberá individualizar el </w:t>
      </w:r>
      <w:r>
        <w:rPr>
          <w:rFonts w:ascii="Times New Roman" w:hAnsi="Times New Roman" w:cs="Times New Roman"/>
          <w:bCs/>
          <w:sz w:val="24"/>
          <w:szCs w:val="24"/>
          <w:lang w:val="es-ES_tradnl"/>
        </w:rPr>
        <w:lastRenderedPageBreak/>
        <w:t>proceso y presentar por duplicado la oferta. En el caso de que la compra sea realizada en lotes, esta será la unidad mínima de cotización y adjudicación.</w:t>
      </w:r>
    </w:p>
    <w:p w:rsidR="00D9071C" w:rsidRDefault="00D9071C" w:rsidP="00D9071C">
      <w:pPr>
        <w:numPr>
          <w:ilvl w:val="0"/>
          <w:numId w:val="1"/>
        </w:numPr>
        <w:spacing w:after="100" w:afterAutospacing="1" w:line="240" w:lineRule="auto"/>
        <w:ind w:left="720" w:hanging="720"/>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Rechazo Automático</w:t>
      </w:r>
      <w:r>
        <w:rPr>
          <w:rFonts w:ascii="Times New Roman" w:hAnsi="Times New Roman" w:cs="Times New Roman"/>
          <w:bCs/>
          <w:sz w:val="24"/>
          <w:szCs w:val="24"/>
          <w:lang w:val="es-ES_tradnl"/>
        </w:rPr>
        <w:t>:</w:t>
      </w:r>
    </w:p>
    <w:p w:rsidR="00D9071C" w:rsidRDefault="00D9071C" w:rsidP="00D9071C">
      <w:pPr>
        <w:spacing w:after="100" w:afterAutospacing="1"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D9071C" w:rsidRDefault="00D9071C" w:rsidP="00D9071C">
      <w:pPr>
        <w:numPr>
          <w:ilvl w:val="0"/>
          <w:numId w:val="1"/>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D9071C" w:rsidRDefault="00D9071C" w:rsidP="00D9071C">
      <w:pPr>
        <w:widowControl w:val="0"/>
        <w:numPr>
          <w:ilvl w:val="0"/>
          <w:numId w:val="8"/>
        </w:numPr>
        <w:suppressAutoHyphens/>
        <w:spacing w:after="0" w:line="240" w:lineRule="auto"/>
        <w:ind w:left="426" w:right="74"/>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Facultades de la Administración</w:t>
      </w:r>
      <w:r>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D9071C" w:rsidRDefault="00D9071C" w:rsidP="00D9071C">
      <w:pPr>
        <w:pStyle w:val="NormalWeb"/>
        <w:spacing w:before="0" w:beforeAutospacing="0" w:after="0"/>
        <w:ind w:left="426"/>
        <w:jc w:val="both"/>
        <w:rPr>
          <w:rFonts w:eastAsiaTheme="minorHAnsi"/>
          <w:bCs/>
          <w:lang w:val="es-ES_tradnl" w:eastAsia="en-US"/>
        </w:rPr>
      </w:pPr>
      <w:r>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D9071C" w:rsidRDefault="00D9071C" w:rsidP="00D9071C">
      <w:pPr>
        <w:pStyle w:val="NormalWeb"/>
        <w:spacing w:before="0" w:beforeAutospacing="0" w:after="0"/>
        <w:ind w:left="426"/>
        <w:jc w:val="both"/>
        <w:rPr>
          <w:rFonts w:eastAsiaTheme="minorHAnsi"/>
          <w:bCs/>
          <w:lang w:val="es-ES_tradnl" w:eastAsia="en-US"/>
        </w:rPr>
      </w:pPr>
    </w:p>
    <w:p w:rsidR="00D9071C" w:rsidRDefault="00D9071C" w:rsidP="00D9071C">
      <w:pPr>
        <w:widowControl w:val="0"/>
        <w:numPr>
          <w:ilvl w:val="0"/>
          <w:numId w:val="8"/>
        </w:numPr>
        <w:suppressAutoHyphens/>
        <w:spacing w:after="0" w:line="240" w:lineRule="auto"/>
        <w:ind w:left="426" w:right="74"/>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Impugnaciones</w:t>
      </w:r>
      <w:r>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D9071C" w:rsidRDefault="00D9071C" w:rsidP="00D9071C">
      <w:pPr>
        <w:widowControl w:val="0"/>
        <w:suppressAutoHyphens/>
        <w:spacing w:after="0" w:line="240" w:lineRule="auto"/>
        <w:ind w:left="426" w:right="74"/>
        <w:jc w:val="both"/>
        <w:rPr>
          <w:rFonts w:ascii="Times New Roman" w:hAnsi="Times New Roman" w:cs="Times New Roman"/>
          <w:bCs/>
          <w:sz w:val="24"/>
          <w:szCs w:val="24"/>
          <w:lang w:val="es-ES_tradnl"/>
        </w:rPr>
      </w:pPr>
    </w:p>
    <w:p w:rsidR="00D9071C" w:rsidRDefault="00D9071C" w:rsidP="00D9071C">
      <w:pPr>
        <w:pStyle w:val="NormalWeb"/>
        <w:numPr>
          <w:ilvl w:val="0"/>
          <w:numId w:val="8"/>
        </w:numPr>
        <w:spacing w:before="0" w:beforeAutospacing="0" w:after="0"/>
        <w:ind w:left="426"/>
        <w:jc w:val="both"/>
        <w:rPr>
          <w:rFonts w:eastAsiaTheme="minorHAnsi"/>
          <w:bCs/>
          <w:lang w:val="es-ES_tradnl" w:eastAsia="en-US"/>
        </w:rPr>
      </w:pPr>
      <w:r>
        <w:rPr>
          <w:rFonts w:eastAsiaTheme="minorHAnsi"/>
          <w:b/>
          <w:bCs/>
          <w:lang w:val="es-ES_tradnl" w:eastAsia="en-US"/>
        </w:rPr>
        <w:t>Comisión de Adjudicación</w:t>
      </w:r>
      <w:r>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D9071C" w:rsidRDefault="00D9071C" w:rsidP="00D9071C">
      <w:pPr>
        <w:pStyle w:val="NormalWeb"/>
        <w:spacing w:before="0" w:beforeAutospacing="0" w:after="0"/>
        <w:ind w:left="426"/>
        <w:jc w:val="both"/>
        <w:rPr>
          <w:rFonts w:eastAsiaTheme="minorHAnsi"/>
          <w:bCs/>
          <w:lang w:val="es-ES_tradnl" w:eastAsia="en-US"/>
        </w:rPr>
      </w:pPr>
      <w:r>
        <w:rPr>
          <w:rFonts w:eastAsiaTheme="minorHAnsi"/>
          <w:bCs/>
          <w:lang w:val="es-ES_tradnl" w:eastAsia="en-US"/>
        </w:rPr>
        <w:t>Posteriormente la Autoridad Administrativa dictará el Acto de Adjudicación.</w:t>
      </w:r>
    </w:p>
    <w:p w:rsidR="00D9071C" w:rsidRDefault="00D9071C" w:rsidP="00D9071C">
      <w:pPr>
        <w:pStyle w:val="NormalWeb"/>
        <w:spacing w:before="0" w:beforeAutospacing="0" w:after="0"/>
        <w:ind w:left="426"/>
        <w:jc w:val="both"/>
        <w:rPr>
          <w:rFonts w:eastAsiaTheme="minorHAnsi"/>
          <w:b/>
          <w:bCs/>
          <w:lang w:val="es-ES_tradnl" w:eastAsia="en-US"/>
        </w:rPr>
      </w:pPr>
    </w:p>
    <w:p w:rsidR="00D9071C" w:rsidRDefault="00D9071C" w:rsidP="00D9071C">
      <w:pPr>
        <w:numPr>
          <w:ilvl w:val="0"/>
          <w:numId w:val="8"/>
        </w:numPr>
        <w:suppressAutoHyphens/>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Notificaciones</w:t>
      </w:r>
      <w:r>
        <w:rPr>
          <w:rFonts w:ascii="Times New Roman" w:hAnsi="Times New Roman" w:cs="Times New Roman"/>
          <w:bCs/>
          <w:sz w:val="24"/>
          <w:szCs w:val="24"/>
          <w:lang w:val="es-ES_tradnl"/>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D9071C" w:rsidRDefault="00D9071C" w:rsidP="00D9071C">
      <w:pPr>
        <w:suppressAutoHyphens/>
        <w:spacing w:after="0" w:line="240" w:lineRule="auto"/>
        <w:ind w:left="426"/>
        <w:jc w:val="both"/>
        <w:rPr>
          <w:rFonts w:ascii="Times New Roman" w:hAnsi="Times New Roman" w:cs="Times New Roman"/>
          <w:bCs/>
          <w:sz w:val="24"/>
          <w:szCs w:val="24"/>
          <w:lang w:val="es-ES_tradnl"/>
        </w:rPr>
      </w:pPr>
    </w:p>
    <w:p w:rsidR="00D9071C" w:rsidRDefault="00D9071C" w:rsidP="00D9071C">
      <w:pPr>
        <w:numPr>
          <w:ilvl w:val="0"/>
          <w:numId w:val="8"/>
        </w:numPr>
        <w:suppressAutoHyphens/>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Garantía de Adjudicación</w:t>
      </w:r>
      <w:r>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D9071C" w:rsidRDefault="00D9071C" w:rsidP="00D9071C">
      <w:pPr>
        <w:suppressAutoHyphens/>
        <w:spacing w:after="0" w:line="240" w:lineRule="auto"/>
        <w:jc w:val="both"/>
        <w:rPr>
          <w:rFonts w:ascii="Times New Roman" w:hAnsi="Times New Roman" w:cs="Times New Roman"/>
          <w:bCs/>
          <w:sz w:val="24"/>
          <w:szCs w:val="24"/>
          <w:lang w:val="es-ES_tradnl"/>
        </w:rPr>
      </w:pPr>
    </w:p>
    <w:p w:rsidR="00D9071C" w:rsidRDefault="00D9071C" w:rsidP="00D9071C">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D9071C" w:rsidRDefault="00D9071C" w:rsidP="00D9071C">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D9071C" w:rsidRDefault="00D9071C" w:rsidP="00D9071C">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Pr>
          <w:rFonts w:ascii="Times New Roman" w:hAnsi="Times New Roman" w:cs="Times New Roman"/>
          <w:bCs/>
          <w:sz w:val="24"/>
          <w:szCs w:val="24"/>
          <w:u w:val="single"/>
          <w:lang w:val="es-ES_tradnl"/>
        </w:rPr>
        <w:t>Crédito Bancario:</w:t>
      </w:r>
      <w:r>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D9071C" w:rsidRDefault="00D9071C" w:rsidP="00D9071C">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lastRenderedPageBreak/>
        <w:t>- Efectivo, es decir un Depósito Bancario en la cuenta Oficial, deberá completar el formulario en la aplicación del Banco San Juan, con todos los datos del Acto Administrativo que corresponda. Según Circular Conjunta N° 002-OCC-2019 y 001-TGP-2019.</w:t>
      </w:r>
    </w:p>
    <w:p w:rsidR="00D9071C" w:rsidRDefault="00D9071C" w:rsidP="00D9071C">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D9071C" w:rsidRDefault="00D9071C" w:rsidP="00D9071C">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D9071C" w:rsidRDefault="00D9071C" w:rsidP="00D9071C">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comprobante de la boleta o transferencia deberá ser incluido en el Sobre con la Documentación solicitada.</w:t>
      </w:r>
    </w:p>
    <w:p w:rsidR="00D9071C" w:rsidRDefault="00D9071C" w:rsidP="00D9071C">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D9071C" w:rsidRDefault="00D9071C" w:rsidP="00D9071C">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D9071C" w:rsidRDefault="00D9071C" w:rsidP="00D9071C">
      <w:pPr>
        <w:pStyle w:val="NormalWeb"/>
        <w:spacing w:before="0" w:beforeAutospacing="0" w:after="0" w:line="276" w:lineRule="auto"/>
        <w:ind w:left="851"/>
        <w:jc w:val="both"/>
        <w:rPr>
          <w:rFonts w:eastAsiaTheme="minorHAnsi"/>
          <w:bCs/>
          <w:lang w:val="es-ES_tradnl" w:eastAsia="en-US"/>
        </w:rPr>
      </w:pPr>
    </w:p>
    <w:p w:rsidR="00D9071C" w:rsidRDefault="00D9071C" w:rsidP="00D9071C">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 xml:space="preserve">Seguro de </w:t>
      </w:r>
      <w:proofErr w:type="spellStart"/>
      <w:r>
        <w:rPr>
          <w:rFonts w:eastAsiaTheme="minorHAnsi"/>
          <w:bCs/>
          <w:u w:val="single"/>
          <w:lang w:val="es-ES_tradnl" w:eastAsia="en-US"/>
        </w:rPr>
        <w:t>Caución</w:t>
      </w:r>
      <w:proofErr w:type="gramStart"/>
      <w:r>
        <w:rPr>
          <w:rFonts w:eastAsiaTheme="minorHAnsi"/>
          <w:bCs/>
          <w:lang w:val="es-ES_tradnl" w:eastAsia="en-US"/>
        </w:rPr>
        <w:t>:La</w:t>
      </w:r>
      <w:proofErr w:type="spellEnd"/>
      <w:proofErr w:type="gramEnd"/>
      <w:r>
        <w:rPr>
          <w:rFonts w:eastAsiaTheme="minorHAnsi"/>
          <w:bCs/>
          <w:lang w:val="es-ES_tradnl" w:eastAsia="en-US"/>
        </w:rPr>
        <w:t xml:space="preserve"> póliza de seguro debe contener la siguiente información:  </w:t>
      </w:r>
    </w:p>
    <w:p w:rsidR="00D9071C" w:rsidRDefault="00D9071C" w:rsidP="00D9071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D9071C" w:rsidRDefault="00D9071C" w:rsidP="00D9071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D9071C" w:rsidRDefault="00D9071C" w:rsidP="00D9071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D9071C" w:rsidRDefault="00D9071C" w:rsidP="00D9071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D9071C" w:rsidRDefault="00D9071C" w:rsidP="00D9071C">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D9071C" w:rsidRDefault="00D9071C" w:rsidP="00D9071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D9071C" w:rsidRDefault="00D9071C" w:rsidP="00D9071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D9071C" w:rsidRDefault="00D9071C" w:rsidP="00D9071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D9071C" w:rsidRDefault="00D9071C" w:rsidP="00D9071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D9071C" w:rsidRDefault="00D9071C" w:rsidP="00D9071C">
      <w:pPr>
        <w:suppressAutoHyphens/>
        <w:spacing w:after="0" w:line="240" w:lineRule="auto"/>
        <w:ind w:left="426"/>
        <w:jc w:val="both"/>
        <w:rPr>
          <w:bCs/>
          <w:lang w:val="es-ES_tradnl"/>
        </w:rPr>
      </w:pPr>
    </w:p>
    <w:p w:rsidR="00D9071C" w:rsidRDefault="00D9071C" w:rsidP="00D9071C">
      <w:pPr>
        <w:pStyle w:val="NormalWeb"/>
        <w:numPr>
          <w:ilvl w:val="0"/>
          <w:numId w:val="8"/>
        </w:numPr>
        <w:spacing w:before="0" w:beforeAutospacing="0" w:after="0"/>
        <w:ind w:left="284"/>
        <w:jc w:val="both"/>
        <w:rPr>
          <w:rFonts w:eastAsiaTheme="minorHAnsi"/>
          <w:bCs/>
          <w:lang w:val="es-ES_tradnl" w:eastAsia="en-US"/>
        </w:rPr>
      </w:pPr>
      <w:r>
        <w:rPr>
          <w:rFonts w:eastAsiaTheme="minorHAnsi"/>
          <w:b/>
          <w:bCs/>
          <w:lang w:val="es-ES_tradnl" w:eastAsia="en-US"/>
        </w:rPr>
        <w:t>Sanciones</w:t>
      </w:r>
      <w:r>
        <w:rPr>
          <w:rFonts w:eastAsiaTheme="minorHAnsi"/>
          <w:bCs/>
          <w:lang w:val="es-ES_tradnl" w:eastAsia="en-US"/>
        </w:rPr>
        <w:t>:</w:t>
      </w:r>
    </w:p>
    <w:p w:rsidR="00D9071C" w:rsidRDefault="00D9071C" w:rsidP="00D9071C">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D9071C" w:rsidRDefault="00D9071C" w:rsidP="00D9071C">
      <w:pPr>
        <w:pStyle w:val="NormalWeb"/>
        <w:spacing w:before="0" w:beforeAutospacing="0" w:after="0"/>
        <w:jc w:val="both"/>
        <w:rPr>
          <w:rFonts w:eastAsiaTheme="minorHAnsi"/>
          <w:bCs/>
          <w:lang w:val="es-ES_tradnl" w:eastAsia="en-US"/>
        </w:rPr>
      </w:pPr>
      <w:r>
        <w:t xml:space="preserve">1) Causales de Suspensión por el plazo de 180 días: </w:t>
      </w:r>
    </w:p>
    <w:p w:rsidR="00D9071C" w:rsidRDefault="00D9071C" w:rsidP="00D9071C">
      <w:pPr>
        <w:pStyle w:val="NormalWeb"/>
        <w:spacing w:before="0" w:beforeAutospacing="0" w:after="0"/>
        <w:ind w:left="426"/>
        <w:jc w:val="both"/>
      </w:pPr>
      <w:r>
        <w:t xml:space="preserve">a) Incumplir en forma total o parcial con la entrega de los bienes o la realización de los servicios. </w:t>
      </w:r>
    </w:p>
    <w:p w:rsidR="00D9071C" w:rsidRDefault="00D9071C" w:rsidP="00D9071C">
      <w:pPr>
        <w:pStyle w:val="NormalWeb"/>
        <w:spacing w:before="0" w:beforeAutospacing="0" w:after="0"/>
        <w:ind w:left="426"/>
        <w:jc w:val="both"/>
      </w:pPr>
      <w:r>
        <w:t xml:space="preserve">b) Entregar los bienes o prestar los servicios fuera del término en más de dos oportunidades, dentro del mismo ejercicio. </w:t>
      </w:r>
    </w:p>
    <w:p w:rsidR="00D9071C" w:rsidRDefault="00D9071C" w:rsidP="00D9071C">
      <w:pPr>
        <w:pStyle w:val="NormalWeb"/>
        <w:spacing w:before="0" w:beforeAutospacing="0" w:after="0"/>
        <w:ind w:left="426"/>
        <w:jc w:val="both"/>
      </w:pPr>
      <w:r>
        <w:t xml:space="preserve">c) Entregar bienes o prestar servicios que no cumplan los requisitos de especificidad establecidos en la oferta.  </w:t>
      </w:r>
    </w:p>
    <w:p w:rsidR="00D9071C" w:rsidRDefault="00D9071C" w:rsidP="00D9071C">
      <w:pPr>
        <w:pStyle w:val="NormalWeb"/>
        <w:spacing w:before="0" w:beforeAutospacing="0" w:after="0"/>
        <w:ind w:left="-284" w:firstLine="284"/>
        <w:jc w:val="both"/>
      </w:pPr>
      <w:r>
        <w:lastRenderedPageBreak/>
        <w:t xml:space="preserve">2) Causales de Inhabilitación Temporaria o Permanente: </w:t>
      </w:r>
    </w:p>
    <w:p w:rsidR="00D9071C" w:rsidRDefault="00D9071C" w:rsidP="00D9071C">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D9071C" w:rsidRDefault="00D9071C" w:rsidP="00D9071C">
      <w:pPr>
        <w:pStyle w:val="NormalWeb"/>
        <w:spacing w:before="0" w:beforeAutospacing="0" w:after="0"/>
        <w:ind w:left="426"/>
        <w:jc w:val="both"/>
      </w:pPr>
      <w:r>
        <w:t xml:space="preserve">b) Se compruebe conductas graves que atenten contra el medio ambiente. </w:t>
      </w:r>
    </w:p>
    <w:p w:rsidR="00D9071C" w:rsidRDefault="00D9071C" w:rsidP="00D9071C">
      <w:pPr>
        <w:pStyle w:val="NormalWeb"/>
        <w:spacing w:before="0" w:beforeAutospacing="0" w:after="0"/>
        <w:ind w:left="426"/>
        <w:jc w:val="both"/>
      </w:pPr>
      <w:r>
        <w:t xml:space="preserve">c) Se compruebe fehacientemente la presentación por el proveedor de información falsa o adulterada. </w:t>
      </w:r>
    </w:p>
    <w:p w:rsidR="00D9071C" w:rsidRDefault="00D9071C" w:rsidP="00D9071C">
      <w:pPr>
        <w:pStyle w:val="NormalWeb"/>
        <w:spacing w:before="0" w:beforeAutospacing="0" w:after="0"/>
        <w:ind w:left="426"/>
        <w:jc w:val="both"/>
      </w:pPr>
      <w:r>
        <w:t xml:space="preserve">d) Declaración de la quiebra hasta la rehabilitación. </w:t>
      </w:r>
    </w:p>
    <w:p w:rsidR="00D9071C" w:rsidRDefault="00D9071C" w:rsidP="00D9071C">
      <w:pPr>
        <w:pStyle w:val="NormalWeb"/>
        <w:spacing w:before="0" w:beforeAutospacing="0" w:after="0"/>
        <w:ind w:left="426"/>
        <w:jc w:val="both"/>
      </w:pPr>
      <w:r>
        <w:t xml:space="preserve">e) En caso de incurrir en tres (3) suspensiones por un período de dos (2) años, el plazo de suspensión será de 2 años. </w:t>
      </w:r>
    </w:p>
    <w:p w:rsidR="00D9071C" w:rsidRDefault="00D9071C" w:rsidP="00D9071C">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D9071C" w:rsidRDefault="00D9071C" w:rsidP="00D9071C">
      <w:pPr>
        <w:pStyle w:val="NormalWeb"/>
        <w:spacing w:before="0" w:beforeAutospacing="0" w:after="0"/>
        <w:jc w:val="both"/>
        <w:rPr>
          <w:bCs/>
          <w:lang w:val="es-ES_tradnl"/>
        </w:rPr>
      </w:pPr>
    </w:p>
    <w:p w:rsidR="00D9071C" w:rsidRDefault="00D9071C" w:rsidP="00D9071C">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D9071C" w:rsidRDefault="00D9071C" w:rsidP="00D9071C">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D9071C" w:rsidRDefault="00D9071C" w:rsidP="00D9071C">
      <w:pPr>
        <w:pStyle w:val="NormalWeb"/>
        <w:spacing w:before="0" w:beforeAutospacing="0" w:after="0"/>
        <w:jc w:val="both"/>
      </w:pPr>
      <w:r>
        <w:t>Según Modificatoria de Clausulas Generales Decreto 664-MSP-2019.</w:t>
      </w:r>
    </w:p>
    <w:p w:rsidR="00D9071C" w:rsidRDefault="00D9071C" w:rsidP="00D9071C">
      <w:pPr>
        <w:pStyle w:val="NormalWeb"/>
        <w:spacing w:before="0" w:beforeAutospacing="0" w:after="0"/>
        <w:jc w:val="both"/>
        <w:rPr>
          <w:rFonts w:ascii="Verdana" w:hAnsi="Verdana" w:cs="Arial"/>
          <w:sz w:val="20"/>
          <w:szCs w:val="20"/>
        </w:rPr>
      </w:pPr>
    </w:p>
    <w:p w:rsidR="00D9071C" w:rsidRDefault="00D9071C" w:rsidP="00D9071C">
      <w:pPr>
        <w:numPr>
          <w:ilvl w:val="0"/>
          <w:numId w:val="1"/>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Plazo y forma de entrega: </w:t>
      </w:r>
    </w:p>
    <w:p w:rsidR="00D9071C" w:rsidRDefault="00D9071C" w:rsidP="00D9071C">
      <w:pPr>
        <w:pStyle w:val="Prrafodelista"/>
        <w:widowControl w:val="0"/>
        <w:numPr>
          <w:ilvl w:val="0"/>
          <w:numId w:val="9"/>
        </w:numPr>
        <w:spacing w:after="100" w:afterAutospacing="1"/>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Para Reactivos</w:t>
      </w:r>
    </w:p>
    <w:p w:rsidR="00D9071C" w:rsidRDefault="00D9071C" w:rsidP="00D9071C">
      <w:pPr>
        <w:pStyle w:val="NormalWeb"/>
        <w:spacing w:before="0" w:beforeAutospacing="0" w:after="0"/>
        <w:jc w:val="both"/>
        <w:rPr>
          <w:rFonts w:eastAsiaTheme="minorHAnsi"/>
          <w:bCs/>
          <w:lang w:val="es-ES_tradnl" w:eastAsia="en-US"/>
        </w:rPr>
      </w:pPr>
      <w:r>
        <w:rPr>
          <w:rFonts w:eastAsiaTheme="minorHAnsi"/>
          <w:bCs/>
          <w:lang w:val="es-ES_tradnl" w:eastAsia="en-US"/>
        </w:rPr>
        <w:t xml:space="preserve">La entrega de reactivos deberá hacerse mediante entregas parciales con pagos parciales, las mismas deberán realizarse dentro de los 15 (quince) días hábiles a partir de la fecha de notificación de la Orden de Entrega definitiva y para las subsiguientes entregas, previa nota de pedido del responsable del área solicitante hasta completar la totalidad del renglón adjudicado, antes del día tope que a sus efectos determine la Comisión de Adjudicación.  </w:t>
      </w:r>
    </w:p>
    <w:p w:rsidR="00D9071C" w:rsidRDefault="00D9071C" w:rsidP="00D9071C">
      <w:pPr>
        <w:pStyle w:val="NormalWeb"/>
        <w:spacing w:before="0" w:beforeAutospacing="0" w:after="0"/>
        <w:jc w:val="both"/>
        <w:rPr>
          <w:rFonts w:eastAsiaTheme="minorHAnsi"/>
          <w:b/>
          <w:bCs/>
          <w:u w:val="single"/>
          <w:lang w:val="es-ES_tradnl" w:eastAsia="en-US"/>
        </w:rPr>
      </w:pPr>
      <w:r>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 lo cual será evaluado por la Comisión de Adjudicación.</w:t>
      </w:r>
      <w:r>
        <w:rPr>
          <w:b/>
          <w:bCs/>
          <w:u w:val="single"/>
          <w:lang w:val="es-ES_tradnl"/>
        </w:rPr>
        <w:t xml:space="preserve"> </w:t>
      </w:r>
    </w:p>
    <w:p w:rsidR="00D9071C" w:rsidRDefault="00D9071C" w:rsidP="00D9071C">
      <w:pPr>
        <w:pStyle w:val="NormalWeb"/>
        <w:spacing w:before="0" w:beforeAutospacing="0" w:after="0"/>
        <w:jc w:val="both"/>
        <w:rPr>
          <w:rFonts w:eastAsiaTheme="minorHAnsi"/>
          <w:bCs/>
          <w:lang w:val="es-ES_tradnl" w:eastAsia="en-US"/>
        </w:rPr>
      </w:pPr>
      <w:r>
        <w:rPr>
          <w:rFonts w:eastAsiaTheme="minorHAnsi"/>
          <w:bCs/>
          <w:lang w:val="es-ES_tradnl" w:eastAsia="en-US"/>
        </w:rPr>
        <w:t>La totalidad de los reactivos que se adjudiquen, serán entregados en el destino que fije la Orden de Entrega Definitiva, o el que determine el responsable del área solicitante libre de gastos de fletes, acarreos, embalajes, carga y descarga, así como las roturas o deterioros que sufran los bienes en su transporte hasta el momento de recibido, serán a cargo del Adjudicatario.</w:t>
      </w:r>
    </w:p>
    <w:p w:rsidR="00D9071C" w:rsidRDefault="00D9071C" w:rsidP="00D9071C">
      <w:pPr>
        <w:pStyle w:val="NormalWeb"/>
        <w:spacing w:before="0" w:beforeAutospacing="0" w:after="0"/>
        <w:jc w:val="both"/>
        <w:rPr>
          <w:rFonts w:eastAsiaTheme="minorHAnsi"/>
          <w:b/>
          <w:bCs/>
          <w:u w:val="single"/>
          <w:lang w:val="es-ES_tradnl" w:eastAsia="en-US"/>
        </w:rPr>
      </w:pPr>
      <w:r>
        <w:rPr>
          <w:rFonts w:eastAsiaTheme="minorHAnsi"/>
          <w:b/>
          <w:bCs/>
          <w:u w:val="single"/>
          <w:lang w:val="es-ES_tradnl" w:eastAsia="en-US"/>
        </w:rPr>
        <w:t xml:space="preserve">La entrega posterior al plazo establecido, será penalizada con un descuento del 0,15% por día hábil proporcional a él </w:t>
      </w:r>
      <w:proofErr w:type="spellStart"/>
      <w:r>
        <w:rPr>
          <w:rFonts w:eastAsiaTheme="minorHAnsi"/>
          <w:b/>
          <w:bCs/>
          <w:u w:val="single"/>
          <w:lang w:val="es-ES_tradnl" w:eastAsia="en-US"/>
        </w:rPr>
        <w:t>ó</w:t>
      </w:r>
      <w:proofErr w:type="spellEnd"/>
      <w:r>
        <w:rPr>
          <w:rFonts w:eastAsiaTheme="minorHAnsi"/>
          <w:b/>
          <w:bCs/>
          <w:u w:val="single"/>
          <w:lang w:val="es-ES_tradnl" w:eastAsia="en-US"/>
        </w:rPr>
        <w:t xml:space="preserve"> los renglones entregados con mora, todo esto en la instancia al pago de la facturación presentada.-</w:t>
      </w:r>
    </w:p>
    <w:p w:rsidR="00D9071C" w:rsidRDefault="00D9071C" w:rsidP="00D9071C">
      <w:pPr>
        <w:spacing w:after="0" w:line="240" w:lineRule="auto"/>
        <w:contextualSpacing/>
        <w:rPr>
          <w:rFonts w:ascii="Times New Roman" w:hAnsi="Times New Roman" w:cs="Times New Roman"/>
          <w:bCs/>
          <w:color w:val="FF0000"/>
          <w:sz w:val="24"/>
          <w:szCs w:val="24"/>
          <w:lang w:val="es-ES_tradnl"/>
        </w:rPr>
      </w:pPr>
    </w:p>
    <w:p w:rsidR="00D9071C" w:rsidRPr="00D9071C" w:rsidRDefault="00D9071C" w:rsidP="00D9071C">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CB1117" w:rsidRPr="00764CFB" w:rsidRDefault="00D8343D" w:rsidP="00764CFB">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3D" w:rsidRDefault="00D8343D" w:rsidP="00044DD7">
      <w:pPr>
        <w:spacing w:after="0" w:line="240" w:lineRule="auto"/>
      </w:pPr>
      <w:r>
        <w:separator/>
      </w:r>
    </w:p>
  </w:endnote>
  <w:endnote w:type="continuationSeparator" w:id="0">
    <w:p w:rsidR="00D8343D" w:rsidRDefault="00D8343D"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D9071C">
          <w:rPr>
            <w:noProof/>
          </w:rPr>
          <w:t>2</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3D" w:rsidRDefault="00D8343D" w:rsidP="00044DD7">
      <w:pPr>
        <w:spacing w:after="0" w:line="240" w:lineRule="auto"/>
      </w:pPr>
      <w:r>
        <w:separator/>
      </w:r>
    </w:p>
  </w:footnote>
  <w:footnote w:type="continuationSeparator" w:id="0">
    <w:p w:rsidR="00D8343D" w:rsidRDefault="00D8343D"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1447086"/>
    <w:multiLevelType w:val="hybridMultilevel"/>
    <w:tmpl w:val="8DDA6F76"/>
    <w:lvl w:ilvl="0" w:tplc="B7023AF0">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4">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C1D5376"/>
    <w:multiLevelType w:val="hybridMultilevel"/>
    <w:tmpl w:val="AA004C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20">
    <w:nsid w:val="6DAC36B6"/>
    <w:multiLevelType w:val="hybridMultilevel"/>
    <w:tmpl w:val="6DD634B0"/>
    <w:lvl w:ilvl="0" w:tplc="27C6277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2">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abstractNum w:abstractNumId="23">
    <w:nsid w:val="7B5664D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8"/>
  </w:num>
  <w:num w:numId="13">
    <w:abstractNumId w:val="17"/>
  </w:num>
  <w:num w:numId="14">
    <w:abstractNumId w:val="21"/>
  </w:num>
  <w:num w:numId="15">
    <w:abstractNumId w:val="13"/>
  </w:num>
  <w:num w:numId="16">
    <w:abstractNumId w:val="11"/>
  </w:num>
  <w:num w:numId="17">
    <w:abstractNumId w:val="0"/>
  </w:num>
  <w:num w:numId="18">
    <w:abstractNumId w:val="19"/>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12"/>
  </w:num>
  <w:num w:numId="25">
    <w:abstractNumId w:val="16"/>
  </w:num>
  <w:num w:numId="26">
    <w:abstractNumId w:val="7"/>
  </w:num>
  <w:num w:numId="27">
    <w:abstractNumId w:val="5"/>
  </w:num>
  <w:num w:numId="28">
    <w:abstractNumId w:val="6"/>
  </w:num>
  <w:num w:numId="29">
    <w:abstractNumId w:val="4"/>
  </w:num>
  <w:num w:numId="30">
    <w:abstractNumId w:val="15"/>
  </w:num>
  <w:num w:numId="31">
    <w:abstractNumId w:val="2"/>
  </w:num>
  <w:num w:numId="32">
    <w:abstractNumId w:val="20"/>
  </w:num>
  <w:num w:numId="33">
    <w:abstractNumId w:val="23"/>
  </w:num>
  <w:num w:numId="34">
    <w:abstractNumId w:val="22"/>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463C"/>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0F762F"/>
    <w:rsid w:val="00104A61"/>
    <w:rsid w:val="00104BD9"/>
    <w:rsid w:val="00111306"/>
    <w:rsid w:val="0011130C"/>
    <w:rsid w:val="00124D20"/>
    <w:rsid w:val="00125606"/>
    <w:rsid w:val="00125A07"/>
    <w:rsid w:val="00150C4C"/>
    <w:rsid w:val="0015541E"/>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4AE5"/>
    <w:rsid w:val="0024509D"/>
    <w:rsid w:val="002452CA"/>
    <w:rsid w:val="00245EAA"/>
    <w:rsid w:val="0025432B"/>
    <w:rsid w:val="00264DD6"/>
    <w:rsid w:val="00275D6E"/>
    <w:rsid w:val="002801F3"/>
    <w:rsid w:val="00282167"/>
    <w:rsid w:val="002844DB"/>
    <w:rsid w:val="00291C48"/>
    <w:rsid w:val="002958CC"/>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0138"/>
    <w:rsid w:val="003A7902"/>
    <w:rsid w:val="003B28FA"/>
    <w:rsid w:val="003B2B95"/>
    <w:rsid w:val="003C67E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3E78"/>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19D9"/>
    <w:rsid w:val="00513005"/>
    <w:rsid w:val="00515528"/>
    <w:rsid w:val="005156A8"/>
    <w:rsid w:val="005229B0"/>
    <w:rsid w:val="0052560D"/>
    <w:rsid w:val="0053058E"/>
    <w:rsid w:val="005447DF"/>
    <w:rsid w:val="00546C15"/>
    <w:rsid w:val="00547482"/>
    <w:rsid w:val="00551410"/>
    <w:rsid w:val="00551578"/>
    <w:rsid w:val="00551E48"/>
    <w:rsid w:val="00552D6A"/>
    <w:rsid w:val="00586328"/>
    <w:rsid w:val="005903B0"/>
    <w:rsid w:val="00591027"/>
    <w:rsid w:val="00595402"/>
    <w:rsid w:val="005A7B71"/>
    <w:rsid w:val="005B4E47"/>
    <w:rsid w:val="005C0053"/>
    <w:rsid w:val="005C31BC"/>
    <w:rsid w:val="005D4B10"/>
    <w:rsid w:val="005D4E33"/>
    <w:rsid w:val="005E0109"/>
    <w:rsid w:val="00600191"/>
    <w:rsid w:val="006006A7"/>
    <w:rsid w:val="0061362D"/>
    <w:rsid w:val="00613773"/>
    <w:rsid w:val="00615C91"/>
    <w:rsid w:val="006206AB"/>
    <w:rsid w:val="00624875"/>
    <w:rsid w:val="00625F18"/>
    <w:rsid w:val="00647F94"/>
    <w:rsid w:val="00651DCE"/>
    <w:rsid w:val="00655579"/>
    <w:rsid w:val="006649C9"/>
    <w:rsid w:val="00664B23"/>
    <w:rsid w:val="00676A5A"/>
    <w:rsid w:val="006778AF"/>
    <w:rsid w:val="006779A9"/>
    <w:rsid w:val="00680ADD"/>
    <w:rsid w:val="00690249"/>
    <w:rsid w:val="006A2234"/>
    <w:rsid w:val="006A332C"/>
    <w:rsid w:val="006A4CC6"/>
    <w:rsid w:val="006A5620"/>
    <w:rsid w:val="006A6685"/>
    <w:rsid w:val="006B0B37"/>
    <w:rsid w:val="006B6015"/>
    <w:rsid w:val="006B6C6E"/>
    <w:rsid w:val="006C01B3"/>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CFB"/>
    <w:rsid w:val="00764D69"/>
    <w:rsid w:val="00766CAC"/>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1936"/>
    <w:rsid w:val="00804043"/>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C6ED8"/>
    <w:rsid w:val="008D4579"/>
    <w:rsid w:val="008D5106"/>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D1D9A"/>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64F19"/>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AF1F51"/>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53D0"/>
    <w:rsid w:val="00CE6367"/>
    <w:rsid w:val="00CF34C6"/>
    <w:rsid w:val="00D047B4"/>
    <w:rsid w:val="00D05DDE"/>
    <w:rsid w:val="00D06721"/>
    <w:rsid w:val="00D1258D"/>
    <w:rsid w:val="00D2068C"/>
    <w:rsid w:val="00D30139"/>
    <w:rsid w:val="00D35E75"/>
    <w:rsid w:val="00D46D78"/>
    <w:rsid w:val="00D51A78"/>
    <w:rsid w:val="00D54FD8"/>
    <w:rsid w:val="00D64B4F"/>
    <w:rsid w:val="00D70F8C"/>
    <w:rsid w:val="00D71F18"/>
    <w:rsid w:val="00D8019C"/>
    <w:rsid w:val="00D808D3"/>
    <w:rsid w:val="00D8257F"/>
    <w:rsid w:val="00D82DDE"/>
    <w:rsid w:val="00D8343D"/>
    <w:rsid w:val="00D9071C"/>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5E3C-8542-4B4A-9815-06C65420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3815</Words>
  <Characters>20984</Characters>
  <Application>Microsoft Office Word</Application>
  <DocSecurity>0</DocSecurity>
  <Lines>174</Lines>
  <Paragraphs>49</Paragraphs>
  <ScaleCrop>false</ScaleCrop>
  <Company>Microsoft</Company>
  <LinksUpToDate>false</LinksUpToDate>
  <CharactersWithSpaces>24750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260</cp:revision>
  <dcterms:created xsi:type="dcterms:W3CDTF">2019-01-14T11:30:00Z</dcterms:created>
  <dcterms:modified xsi:type="dcterms:W3CDTF">2020-09-29T12:47:00Z</dcterms:modified>
</cp:coreProperties>
</file>