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244AE5" w:rsidP="00CA196D">
      <w:pPr>
        <w:jc w:val="both"/>
        <w:rPr>
          <w:sz w:val="28"/>
          <w:szCs w:val="28"/>
          <w:lang w:val="es-MX"/>
        </w:rPr>
      </w:pPr>
      <w:r>
        <w:rPr>
          <w:sz w:val="28"/>
          <w:szCs w:val="28"/>
          <w:lang w:val="es-MX"/>
        </w:rPr>
        <w:pict>
          <v:rect id="_x0000_i1025" style="width:0;height:1.5pt" o:hralign="center" o:hrstd="t" o:hr="t" fillcolor="#a0a0a0" stroked="f"/>
        </w:pict>
      </w:r>
    </w:p>
    <w:p w:rsidR="00D70F8C" w:rsidRPr="00734B3B" w:rsidRDefault="00D70F8C" w:rsidP="00D70F8C">
      <w:pPr>
        <w:jc w:val="center"/>
        <w:rPr>
          <w:rFonts w:ascii="Arial" w:hAnsi="Arial" w:cs="Arial"/>
          <w:sz w:val="28"/>
          <w:szCs w:val="28"/>
          <w:u w:val="single"/>
        </w:rPr>
      </w:pPr>
      <w:r w:rsidRPr="00734B3B">
        <w:rPr>
          <w:rFonts w:ascii="Arial" w:hAnsi="Arial" w:cs="Arial"/>
          <w:sz w:val="28"/>
          <w:szCs w:val="28"/>
          <w:u w:val="single"/>
        </w:rPr>
        <w:t xml:space="preserve">COMPRA DIRECTA  N° 61/20   </w:t>
      </w:r>
    </w:p>
    <w:p w:rsidR="00D70F8C" w:rsidRPr="00734B3B" w:rsidRDefault="00D70F8C" w:rsidP="00D70F8C">
      <w:pPr>
        <w:jc w:val="center"/>
        <w:rPr>
          <w:rFonts w:ascii="Arial" w:hAnsi="Arial" w:cs="Arial"/>
          <w:sz w:val="28"/>
          <w:szCs w:val="28"/>
          <w:u w:val="single"/>
        </w:rPr>
      </w:pPr>
      <w:r w:rsidRPr="00734B3B">
        <w:rPr>
          <w:rFonts w:ascii="Arial" w:hAnsi="Arial" w:cs="Arial"/>
          <w:sz w:val="28"/>
          <w:szCs w:val="28"/>
          <w:u w:val="single"/>
        </w:rPr>
        <w:t>LEY 783 –P.</w:t>
      </w:r>
    </w:p>
    <w:p w:rsidR="00D70F8C" w:rsidRPr="00D70F8C" w:rsidRDefault="00D70F8C" w:rsidP="00D70F8C">
      <w:pPr>
        <w:tabs>
          <w:tab w:val="left" w:pos="5610"/>
        </w:tabs>
        <w:jc w:val="center"/>
        <w:rPr>
          <w:rFonts w:ascii="Arial" w:hAnsi="Arial" w:cs="Arial"/>
          <w:sz w:val="28"/>
          <w:szCs w:val="28"/>
        </w:rPr>
      </w:pPr>
      <w:r w:rsidRPr="00734B3B">
        <w:rPr>
          <w:rFonts w:ascii="Arial" w:hAnsi="Arial" w:cs="Arial"/>
          <w:sz w:val="28"/>
          <w:szCs w:val="28"/>
        </w:rPr>
        <w:t xml:space="preserve">Expediente Nº 800-004437-2020/ </w:t>
      </w:r>
      <w:r w:rsidRPr="00734B3B">
        <w:rPr>
          <w:rFonts w:ascii="Arial" w:hAnsi="Arial" w:cs="Arial"/>
          <w:b/>
          <w:i/>
          <w:sz w:val="28"/>
          <w:szCs w:val="28"/>
        </w:rPr>
        <w:t>Rs.3519-MSP</w:t>
      </w:r>
      <w:r w:rsidRPr="00734B3B">
        <w:rPr>
          <w:rFonts w:ascii="Arial" w:hAnsi="Arial" w:cs="Arial"/>
          <w:sz w:val="28"/>
          <w:szCs w:val="28"/>
        </w:rPr>
        <w:t>-</w:t>
      </w:r>
      <w:r w:rsidRPr="00734B3B">
        <w:rPr>
          <w:rFonts w:ascii="Arial" w:hAnsi="Arial" w:cs="Arial"/>
          <w:b/>
          <w:sz w:val="28"/>
          <w:szCs w:val="28"/>
        </w:rPr>
        <w:t xml:space="preserve">2020 </w:t>
      </w:r>
      <w:r w:rsidRPr="00734B3B">
        <w:rPr>
          <w:rFonts w:ascii="Arial" w:hAnsi="Arial" w:cs="Arial"/>
          <w:sz w:val="28"/>
          <w:szCs w:val="28"/>
        </w:rPr>
        <w:t xml:space="preserve">           </w:t>
      </w:r>
      <w:bookmarkStart w:id="0" w:name="_GoBack"/>
      <w:bookmarkEnd w:id="0"/>
    </w:p>
    <w:p w:rsidR="00D70F8C" w:rsidRPr="00734B3B" w:rsidRDefault="00D70F8C" w:rsidP="00D70F8C">
      <w:pPr>
        <w:contextualSpacing/>
        <w:jc w:val="both"/>
        <w:rPr>
          <w:rFonts w:ascii="Times New Roman" w:hAnsi="Times New Roman" w:cs="Times New Roman"/>
          <w:sz w:val="24"/>
          <w:szCs w:val="24"/>
        </w:rPr>
      </w:pPr>
      <w:r w:rsidRPr="00734B3B">
        <w:rPr>
          <w:rFonts w:ascii="Verdana" w:hAnsi="Verdana" w:cs="Arial"/>
          <w:sz w:val="20"/>
          <w:szCs w:val="20"/>
        </w:rPr>
        <w:t xml:space="preserve">                              A realizarse la apertura el día </w:t>
      </w:r>
      <w:r w:rsidRPr="00734B3B">
        <w:rPr>
          <w:rFonts w:ascii="Verdana" w:hAnsi="Verdana" w:cs="Arial"/>
          <w:b/>
          <w:sz w:val="20"/>
          <w:szCs w:val="20"/>
        </w:rPr>
        <w:t>Jueves 01 (uno) de Octubre del 2.020</w:t>
      </w:r>
      <w:r w:rsidRPr="00734B3B">
        <w:rPr>
          <w:rFonts w:ascii="Verdana" w:hAnsi="Verdana" w:cs="Arial"/>
          <w:sz w:val="20"/>
          <w:szCs w:val="20"/>
        </w:rPr>
        <w:t xml:space="preserve"> </w:t>
      </w:r>
      <w:r w:rsidRPr="00734B3B">
        <w:rPr>
          <w:rFonts w:ascii="Verdana" w:hAnsi="Verdana" w:cs="Arial"/>
          <w:b/>
          <w:sz w:val="20"/>
          <w:szCs w:val="20"/>
        </w:rPr>
        <w:t>y  la recepción de sobres hasta las 09:00 horas en la oficina de Departamento Compras</w:t>
      </w:r>
      <w:r w:rsidRPr="00734B3B">
        <w:rPr>
          <w:rFonts w:ascii="Verdana" w:hAnsi="Verdana" w:cs="Arial"/>
          <w:sz w:val="20"/>
          <w:szCs w:val="20"/>
        </w:rPr>
        <w:t xml:space="preserve">, para la adquisición de </w:t>
      </w:r>
      <w:r w:rsidRPr="00734B3B">
        <w:rPr>
          <w:rFonts w:ascii="Verdana" w:hAnsi="Verdana" w:cs="Arial"/>
          <w:sz w:val="20"/>
          <w:szCs w:val="20"/>
          <w:lang w:val="es-ES"/>
        </w:rPr>
        <w:t>equipamiento biomédico para el Proyecto de Creación de la Unidad de atención de pacientes cardiológicos ambulatorios del Hospital Dr. José Giordano de la Zona Sanitaria III, dependiente del Ministerio de Salud Pública.</w:t>
      </w:r>
    </w:p>
    <w:p w:rsidR="00D70F8C" w:rsidRDefault="00D70F8C" w:rsidP="00D70F8C">
      <w:pPr>
        <w:pStyle w:val="Sangranormal"/>
        <w:tabs>
          <w:tab w:val="left" w:pos="1200"/>
          <w:tab w:val="left" w:pos="1680"/>
        </w:tabs>
        <w:ind w:left="0" w:firstLine="2127"/>
        <w:jc w:val="both"/>
        <w:rPr>
          <w:rFonts w:ascii="Verdana" w:hAnsi="Verdana" w:cs="Arial"/>
          <w:sz w:val="20"/>
          <w:szCs w:val="20"/>
        </w:rPr>
      </w:pPr>
      <w:r w:rsidRPr="008E7F6C">
        <w:rPr>
          <w:rFonts w:ascii="Verdana" w:hAnsi="Verdana" w:cs="Arial"/>
          <w:sz w:val="20"/>
          <w:szCs w:val="20"/>
        </w:rPr>
        <w:t>Si el día fijado para la apertura, resultare no laborable, se efectuará el primer día há</w:t>
      </w:r>
      <w:r>
        <w:rPr>
          <w:rFonts w:ascii="Verdana" w:hAnsi="Verdana" w:cs="Arial"/>
          <w:sz w:val="20"/>
          <w:szCs w:val="20"/>
        </w:rPr>
        <w:t>bil siguiente, a la misma hora.</w:t>
      </w:r>
    </w:p>
    <w:p w:rsidR="00D70F8C" w:rsidRDefault="00D70F8C" w:rsidP="00D70F8C">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D70F8C" w:rsidRDefault="00D70F8C" w:rsidP="00D70F8C">
      <w:pPr>
        <w:pStyle w:val="Sangranormal"/>
        <w:tabs>
          <w:tab w:val="left" w:pos="1200"/>
          <w:tab w:val="left" w:pos="1680"/>
        </w:tabs>
        <w:ind w:left="0" w:firstLine="2127"/>
        <w:jc w:val="both"/>
        <w:rPr>
          <w:rFonts w:ascii="Verdana" w:hAnsi="Verdana" w:cs="Arial"/>
          <w:b/>
          <w:sz w:val="20"/>
          <w:szCs w:val="20"/>
          <w:u w:val="single"/>
        </w:rPr>
      </w:pPr>
    </w:p>
    <w:tbl>
      <w:tblPr>
        <w:tblW w:w="9928" w:type="dxa"/>
        <w:tblInd w:w="65" w:type="dxa"/>
        <w:tblCellMar>
          <w:left w:w="70" w:type="dxa"/>
          <w:right w:w="70" w:type="dxa"/>
        </w:tblCellMar>
        <w:tblLook w:val="04A0" w:firstRow="1" w:lastRow="0" w:firstColumn="1" w:lastColumn="0" w:noHBand="0" w:noVBand="1"/>
      </w:tblPr>
      <w:tblGrid>
        <w:gridCol w:w="734"/>
        <w:gridCol w:w="8343"/>
        <w:gridCol w:w="851"/>
      </w:tblGrid>
      <w:tr w:rsidR="00D70F8C" w:rsidRPr="006B7344" w:rsidTr="006B35FF">
        <w:trPr>
          <w:trHeight w:val="300"/>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D70F8C" w:rsidRPr="006B7344" w:rsidRDefault="00D70F8C" w:rsidP="006B35FF">
            <w:pPr>
              <w:spacing w:after="0" w:line="240" w:lineRule="auto"/>
              <w:jc w:val="center"/>
              <w:rPr>
                <w:rFonts w:ascii="Times New Roman" w:eastAsia="Times New Roman" w:hAnsi="Times New Roman" w:cs="Times New Roman"/>
                <w:b/>
                <w:bCs/>
                <w:sz w:val="24"/>
                <w:szCs w:val="24"/>
                <w:lang w:eastAsia="es-AR"/>
              </w:rPr>
            </w:pPr>
            <w:proofErr w:type="spellStart"/>
            <w:r>
              <w:rPr>
                <w:rFonts w:ascii="Times New Roman" w:eastAsia="Times New Roman" w:hAnsi="Times New Roman" w:cs="Times New Roman"/>
                <w:b/>
                <w:bCs/>
                <w:sz w:val="24"/>
                <w:szCs w:val="24"/>
                <w:lang w:eastAsia="es-AR"/>
              </w:rPr>
              <w:t>Reng</w:t>
            </w:r>
            <w:proofErr w:type="spellEnd"/>
            <w:r>
              <w:rPr>
                <w:rFonts w:ascii="Times New Roman" w:eastAsia="Times New Roman" w:hAnsi="Times New Roman" w:cs="Times New Roman"/>
                <w:b/>
                <w:bCs/>
                <w:sz w:val="24"/>
                <w:szCs w:val="24"/>
                <w:lang w:eastAsia="es-AR"/>
              </w:rPr>
              <w:t>.</w:t>
            </w:r>
          </w:p>
        </w:tc>
        <w:tc>
          <w:tcPr>
            <w:tcW w:w="8343" w:type="dxa"/>
            <w:tcBorders>
              <w:top w:val="single" w:sz="4" w:space="0" w:color="auto"/>
              <w:left w:val="nil"/>
              <w:bottom w:val="single" w:sz="4" w:space="0" w:color="auto"/>
              <w:right w:val="single" w:sz="4" w:space="0" w:color="auto"/>
            </w:tcBorders>
            <w:shd w:val="clear" w:color="auto" w:fill="auto"/>
            <w:noWrap/>
            <w:vAlign w:val="bottom"/>
          </w:tcPr>
          <w:p w:rsidR="00D70F8C" w:rsidRPr="006B7344" w:rsidRDefault="00D70F8C" w:rsidP="006B35FF">
            <w:pPr>
              <w:spacing w:after="0" w:line="240" w:lineRule="auto"/>
              <w:jc w:val="center"/>
              <w:rPr>
                <w:rFonts w:ascii="Times New Roman" w:eastAsia="Times New Roman" w:hAnsi="Times New Roman" w:cs="Times New Roman"/>
                <w:b/>
                <w:bCs/>
                <w:sz w:val="24"/>
                <w:szCs w:val="24"/>
                <w:lang w:eastAsia="es-AR"/>
              </w:rPr>
            </w:pPr>
            <w:r>
              <w:rPr>
                <w:rFonts w:ascii="Times New Roman" w:eastAsia="Times New Roman" w:hAnsi="Times New Roman" w:cs="Times New Roman"/>
                <w:b/>
                <w:bCs/>
                <w:sz w:val="24"/>
                <w:szCs w:val="24"/>
                <w:lang w:eastAsia="es-AR"/>
              </w:rPr>
              <w:t>Detalle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0F8C" w:rsidRPr="006B7344" w:rsidRDefault="00D70F8C" w:rsidP="006B35FF">
            <w:pPr>
              <w:spacing w:after="0" w:line="240" w:lineRule="auto"/>
              <w:jc w:val="center"/>
              <w:rPr>
                <w:rFonts w:ascii="Times New Roman" w:eastAsia="Times New Roman" w:hAnsi="Times New Roman" w:cs="Times New Roman"/>
                <w:b/>
                <w:bCs/>
                <w:sz w:val="24"/>
                <w:szCs w:val="24"/>
                <w:lang w:eastAsia="es-AR"/>
              </w:rPr>
            </w:pPr>
            <w:proofErr w:type="spellStart"/>
            <w:r>
              <w:rPr>
                <w:rFonts w:ascii="Times New Roman" w:eastAsia="Times New Roman" w:hAnsi="Times New Roman" w:cs="Times New Roman"/>
                <w:b/>
                <w:bCs/>
                <w:sz w:val="24"/>
                <w:szCs w:val="24"/>
                <w:lang w:eastAsia="es-AR"/>
              </w:rPr>
              <w:t>Cant</w:t>
            </w:r>
            <w:proofErr w:type="spellEnd"/>
            <w:r>
              <w:rPr>
                <w:rFonts w:ascii="Times New Roman" w:eastAsia="Times New Roman" w:hAnsi="Times New Roman" w:cs="Times New Roman"/>
                <w:b/>
                <w:bCs/>
                <w:sz w:val="24"/>
                <w:szCs w:val="24"/>
                <w:lang w:eastAsia="es-AR"/>
              </w:rPr>
              <w:t>.</w:t>
            </w:r>
          </w:p>
        </w:tc>
      </w:tr>
      <w:tr w:rsidR="00D70F8C" w:rsidRPr="006B7344" w:rsidTr="006B35FF">
        <w:trPr>
          <w:trHeight w:val="1095"/>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70F8C" w:rsidRPr="006B7344" w:rsidRDefault="00D70F8C" w:rsidP="006B35FF">
            <w:pPr>
              <w:spacing w:after="0" w:line="240" w:lineRule="auto"/>
              <w:jc w:val="center"/>
              <w:rPr>
                <w:rFonts w:ascii="Times New Roman" w:eastAsia="Times New Roman" w:hAnsi="Times New Roman" w:cs="Times New Roman"/>
                <w:b/>
                <w:bCs/>
                <w:sz w:val="24"/>
                <w:szCs w:val="24"/>
                <w:lang w:eastAsia="es-AR"/>
              </w:rPr>
            </w:pPr>
            <w:r w:rsidRPr="006B7344">
              <w:rPr>
                <w:rFonts w:ascii="Times New Roman" w:eastAsia="Times New Roman" w:hAnsi="Times New Roman" w:cs="Times New Roman"/>
                <w:b/>
                <w:bCs/>
                <w:sz w:val="24"/>
                <w:szCs w:val="24"/>
                <w:lang w:eastAsia="es-AR"/>
              </w:rPr>
              <w:t>1</w:t>
            </w:r>
          </w:p>
        </w:tc>
        <w:tc>
          <w:tcPr>
            <w:tcW w:w="8343" w:type="dxa"/>
            <w:tcBorders>
              <w:top w:val="single" w:sz="4" w:space="0" w:color="auto"/>
              <w:left w:val="nil"/>
              <w:bottom w:val="single" w:sz="4" w:space="0" w:color="auto"/>
              <w:right w:val="single" w:sz="4" w:space="0" w:color="auto"/>
            </w:tcBorders>
            <w:shd w:val="clear" w:color="auto" w:fill="auto"/>
            <w:vAlign w:val="center"/>
            <w:hideMark/>
          </w:tcPr>
          <w:p w:rsidR="00D70F8C" w:rsidRPr="006B7344" w:rsidRDefault="00D70F8C" w:rsidP="006B35FF">
            <w:pPr>
              <w:spacing w:after="0" w:line="240" w:lineRule="auto"/>
              <w:rPr>
                <w:rFonts w:ascii="Times New Roman" w:eastAsia="Times New Roman" w:hAnsi="Times New Roman" w:cs="Times New Roman"/>
                <w:b/>
                <w:bCs/>
                <w:sz w:val="24"/>
                <w:szCs w:val="24"/>
                <w:lang w:eastAsia="es-AR"/>
              </w:rPr>
            </w:pPr>
            <w:r w:rsidRPr="006B7344">
              <w:rPr>
                <w:rFonts w:ascii="Times New Roman" w:eastAsia="Times New Roman" w:hAnsi="Times New Roman" w:cs="Times New Roman"/>
                <w:b/>
                <w:bCs/>
                <w:sz w:val="24"/>
                <w:szCs w:val="24"/>
                <w:lang w:eastAsia="es-AR"/>
              </w:rPr>
              <w:t xml:space="preserve">Sistema de ergometría: </w:t>
            </w:r>
            <w:r w:rsidRPr="006B7344">
              <w:rPr>
                <w:rFonts w:ascii="Times New Roman" w:eastAsia="Times New Roman" w:hAnsi="Times New Roman" w:cs="Times New Roman"/>
                <w:sz w:val="24"/>
                <w:szCs w:val="24"/>
                <w:lang w:eastAsia="es-AR"/>
              </w:rPr>
              <w:t xml:space="preserve">De 12 derivaciones simultáneas. Con una resolución </w:t>
            </w:r>
            <w:r w:rsidRPr="006B7344">
              <w:rPr>
                <w:lang w:eastAsia="es-AR"/>
              </w:rPr>
              <w:t>máxima</w:t>
            </w:r>
            <w:r w:rsidRPr="006B7344">
              <w:rPr>
                <w:rFonts w:ascii="Times New Roman" w:eastAsia="Times New Roman" w:hAnsi="Times New Roman" w:cs="Times New Roman"/>
                <w:sz w:val="24"/>
                <w:szCs w:val="24"/>
                <w:lang w:eastAsia="es-AR"/>
              </w:rPr>
              <w:t xml:space="preserve"> de al menos de 2000 Hz. Apto para pediatría. Debe permitir ser utilizado cómodamente para realizar ECG de reposo y Pruebas de Esfuerzo. Con puerto para transferencia de datos. Debe incluir manual en español y pilas o batería.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0F8C" w:rsidRPr="006B7344" w:rsidRDefault="00D70F8C" w:rsidP="006B35FF">
            <w:pPr>
              <w:spacing w:after="0" w:line="240" w:lineRule="auto"/>
              <w:jc w:val="center"/>
              <w:rPr>
                <w:rFonts w:ascii="Times New Roman" w:eastAsia="Times New Roman" w:hAnsi="Times New Roman" w:cs="Times New Roman"/>
                <w:b/>
                <w:bCs/>
                <w:sz w:val="24"/>
                <w:szCs w:val="24"/>
                <w:lang w:eastAsia="es-AR"/>
              </w:rPr>
            </w:pPr>
            <w:r w:rsidRPr="006B7344">
              <w:rPr>
                <w:rFonts w:ascii="Times New Roman" w:eastAsia="Times New Roman" w:hAnsi="Times New Roman" w:cs="Times New Roman"/>
                <w:b/>
                <w:bCs/>
                <w:sz w:val="24"/>
                <w:szCs w:val="24"/>
                <w:lang w:eastAsia="es-AR"/>
              </w:rPr>
              <w:t>1</w:t>
            </w:r>
          </w:p>
        </w:tc>
      </w:tr>
      <w:tr w:rsidR="00D70F8C" w:rsidRPr="006B7344" w:rsidTr="006B35FF">
        <w:trPr>
          <w:trHeight w:val="1425"/>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70F8C" w:rsidRPr="006B7344" w:rsidRDefault="00D70F8C" w:rsidP="006B35FF">
            <w:pPr>
              <w:spacing w:after="0" w:line="240" w:lineRule="auto"/>
              <w:jc w:val="center"/>
              <w:rPr>
                <w:rFonts w:ascii="Times New Roman" w:eastAsia="Times New Roman" w:hAnsi="Times New Roman" w:cs="Times New Roman"/>
                <w:b/>
                <w:bCs/>
                <w:sz w:val="24"/>
                <w:szCs w:val="24"/>
                <w:lang w:eastAsia="es-AR"/>
              </w:rPr>
            </w:pPr>
            <w:r w:rsidRPr="006B7344">
              <w:rPr>
                <w:rFonts w:ascii="Times New Roman" w:eastAsia="Times New Roman" w:hAnsi="Times New Roman" w:cs="Times New Roman"/>
                <w:b/>
                <w:bCs/>
                <w:sz w:val="24"/>
                <w:szCs w:val="24"/>
                <w:lang w:eastAsia="es-AR"/>
              </w:rPr>
              <w:t>2</w:t>
            </w:r>
          </w:p>
        </w:tc>
        <w:tc>
          <w:tcPr>
            <w:tcW w:w="8343" w:type="dxa"/>
            <w:tcBorders>
              <w:top w:val="nil"/>
              <w:left w:val="nil"/>
              <w:bottom w:val="single" w:sz="4" w:space="0" w:color="auto"/>
              <w:right w:val="single" w:sz="4" w:space="0" w:color="auto"/>
            </w:tcBorders>
            <w:shd w:val="clear" w:color="auto" w:fill="auto"/>
            <w:vAlign w:val="center"/>
            <w:hideMark/>
          </w:tcPr>
          <w:p w:rsidR="00D70F8C" w:rsidRPr="006B7344" w:rsidRDefault="00D70F8C" w:rsidP="006B35FF">
            <w:pPr>
              <w:spacing w:after="0" w:line="240" w:lineRule="auto"/>
              <w:rPr>
                <w:rFonts w:ascii="Times New Roman" w:eastAsia="Times New Roman" w:hAnsi="Times New Roman" w:cs="Times New Roman"/>
                <w:b/>
                <w:bCs/>
                <w:sz w:val="24"/>
                <w:szCs w:val="24"/>
                <w:lang w:eastAsia="es-AR"/>
              </w:rPr>
            </w:pPr>
            <w:r w:rsidRPr="006B7344">
              <w:rPr>
                <w:rFonts w:ascii="Times New Roman" w:eastAsia="Times New Roman" w:hAnsi="Times New Roman" w:cs="Times New Roman"/>
                <w:b/>
                <w:bCs/>
                <w:sz w:val="24"/>
                <w:szCs w:val="24"/>
                <w:lang w:eastAsia="es-AR"/>
              </w:rPr>
              <w:t xml:space="preserve">Sistema </w:t>
            </w:r>
            <w:proofErr w:type="spellStart"/>
            <w:r w:rsidRPr="006B7344">
              <w:rPr>
                <w:rFonts w:ascii="Times New Roman" w:eastAsia="Times New Roman" w:hAnsi="Times New Roman" w:cs="Times New Roman"/>
                <w:b/>
                <w:bCs/>
                <w:sz w:val="24"/>
                <w:szCs w:val="24"/>
                <w:lang w:eastAsia="es-AR"/>
              </w:rPr>
              <w:t>Holter</w:t>
            </w:r>
            <w:proofErr w:type="spellEnd"/>
            <w:r w:rsidRPr="006B7344">
              <w:rPr>
                <w:rFonts w:ascii="Times New Roman" w:eastAsia="Times New Roman" w:hAnsi="Times New Roman" w:cs="Times New Roman"/>
                <w:b/>
                <w:bCs/>
                <w:sz w:val="24"/>
                <w:szCs w:val="24"/>
                <w:lang w:eastAsia="es-AR"/>
              </w:rPr>
              <w:t>:</w:t>
            </w:r>
            <w:r w:rsidRPr="006B7344">
              <w:rPr>
                <w:rFonts w:ascii="Times New Roman" w:eastAsia="Times New Roman" w:hAnsi="Times New Roman" w:cs="Times New Roman"/>
                <w:sz w:val="24"/>
                <w:szCs w:val="24"/>
                <w:lang w:eastAsia="es-AR"/>
              </w:rPr>
              <w:t xml:space="preserve"> De al menos 3 canales de ECG. Registro de 24/48 hs. Apto para adultos, pediátricos y neonatos. Botón de evento de paciente de fácil uso. Tarjeta de memoria SD de al menos 1Gb. </w:t>
            </w:r>
            <w:r w:rsidRPr="006B7344">
              <w:rPr>
                <w:lang w:eastAsia="es-AR"/>
              </w:rPr>
              <w:t>Interface</w:t>
            </w:r>
            <w:r w:rsidRPr="006B7344">
              <w:rPr>
                <w:rFonts w:ascii="Times New Roman" w:eastAsia="Times New Roman" w:hAnsi="Times New Roman" w:cs="Times New Roman"/>
                <w:sz w:val="24"/>
                <w:szCs w:val="24"/>
                <w:lang w:eastAsia="es-AR"/>
              </w:rPr>
              <w:t xml:space="preserve"> con PC para importar y exportar estudios. Debe incluir: 2 (dos) grabadoras o equipos de registro para actividad eléctrica cardíaca del paciente con sus respectivos juegos de cables porta electrodos, estuche, cinto y memoria SD. Software para interpretación de estudios. Manual de usuario en español, pilas o batería y estuche.</w:t>
            </w:r>
          </w:p>
        </w:tc>
        <w:tc>
          <w:tcPr>
            <w:tcW w:w="851" w:type="dxa"/>
            <w:tcBorders>
              <w:top w:val="nil"/>
              <w:left w:val="nil"/>
              <w:bottom w:val="single" w:sz="4" w:space="0" w:color="auto"/>
              <w:right w:val="single" w:sz="4" w:space="0" w:color="auto"/>
            </w:tcBorders>
            <w:shd w:val="clear" w:color="auto" w:fill="auto"/>
            <w:vAlign w:val="center"/>
            <w:hideMark/>
          </w:tcPr>
          <w:p w:rsidR="00D70F8C" w:rsidRPr="006B7344" w:rsidRDefault="00D70F8C" w:rsidP="006B35FF">
            <w:pPr>
              <w:spacing w:after="0" w:line="240" w:lineRule="auto"/>
              <w:jc w:val="center"/>
              <w:rPr>
                <w:rFonts w:ascii="Times New Roman" w:eastAsia="Times New Roman" w:hAnsi="Times New Roman" w:cs="Times New Roman"/>
                <w:b/>
                <w:bCs/>
                <w:sz w:val="24"/>
                <w:szCs w:val="24"/>
                <w:lang w:eastAsia="es-AR"/>
              </w:rPr>
            </w:pPr>
            <w:r w:rsidRPr="006B7344">
              <w:rPr>
                <w:rFonts w:ascii="Times New Roman" w:eastAsia="Times New Roman" w:hAnsi="Times New Roman" w:cs="Times New Roman"/>
                <w:b/>
                <w:bCs/>
                <w:sz w:val="24"/>
                <w:szCs w:val="24"/>
                <w:lang w:eastAsia="es-AR"/>
              </w:rPr>
              <w:t>1</w:t>
            </w:r>
          </w:p>
        </w:tc>
      </w:tr>
      <w:tr w:rsidR="00D70F8C" w:rsidRPr="006B7344" w:rsidTr="006B35FF">
        <w:trPr>
          <w:trHeight w:val="135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70F8C" w:rsidRPr="006B7344" w:rsidRDefault="00D70F8C" w:rsidP="006B35FF">
            <w:pPr>
              <w:spacing w:after="0" w:line="240" w:lineRule="auto"/>
              <w:jc w:val="center"/>
              <w:rPr>
                <w:rFonts w:ascii="Times New Roman" w:eastAsia="Times New Roman" w:hAnsi="Times New Roman" w:cs="Times New Roman"/>
                <w:b/>
                <w:bCs/>
                <w:sz w:val="24"/>
                <w:szCs w:val="24"/>
                <w:lang w:eastAsia="es-AR"/>
              </w:rPr>
            </w:pPr>
            <w:r w:rsidRPr="006B7344">
              <w:rPr>
                <w:rFonts w:ascii="Times New Roman" w:eastAsia="Times New Roman" w:hAnsi="Times New Roman" w:cs="Times New Roman"/>
                <w:b/>
                <w:bCs/>
                <w:sz w:val="24"/>
                <w:szCs w:val="24"/>
                <w:lang w:eastAsia="es-AR"/>
              </w:rPr>
              <w:t>3</w:t>
            </w:r>
          </w:p>
        </w:tc>
        <w:tc>
          <w:tcPr>
            <w:tcW w:w="8343" w:type="dxa"/>
            <w:tcBorders>
              <w:top w:val="nil"/>
              <w:left w:val="nil"/>
              <w:bottom w:val="single" w:sz="4" w:space="0" w:color="auto"/>
              <w:right w:val="single" w:sz="4" w:space="0" w:color="auto"/>
            </w:tcBorders>
            <w:shd w:val="clear" w:color="auto" w:fill="auto"/>
            <w:vAlign w:val="center"/>
            <w:hideMark/>
          </w:tcPr>
          <w:p w:rsidR="00D70F8C" w:rsidRPr="006B7344" w:rsidRDefault="00D70F8C" w:rsidP="006B35FF">
            <w:pPr>
              <w:spacing w:after="0" w:line="240" w:lineRule="auto"/>
              <w:rPr>
                <w:rFonts w:ascii="Times New Roman" w:eastAsia="Times New Roman" w:hAnsi="Times New Roman" w:cs="Times New Roman"/>
                <w:b/>
                <w:bCs/>
                <w:sz w:val="24"/>
                <w:szCs w:val="24"/>
                <w:lang w:eastAsia="es-AR"/>
              </w:rPr>
            </w:pPr>
            <w:r w:rsidRPr="006B7344">
              <w:rPr>
                <w:rFonts w:ascii="Times New Roman" w:eastAsia="Times New Roman" w:hAnsi="Times New Roman" w:cs="Times New Roman"/>
                <w:b/>
                <w:bCs/>
                <w:sz w:val="24"/>
                <w:szCs w:val="24"/>
                <w:lang w:eastAsia="es-AR"/>
              </w:rPr>
              <w:t xml:space="preserve">Sistema MAPA: </w:t>
            </w:r>
            <w:r w:rsidRPr="006B7344">
              <w:rPr>
                <w:rFonts w:ascii="Times New Roman" w:eastAsia="Times New Roman" w:hAnsi="Times New Roman" w:cs="Times New Roman"/>
                <w:sz w:val="24"/>
                <w:szCs w:val="24"/>
                <w:lang w:eastAsia="es-AR"/>
              </w:rPr>
              <w:t xml:space="preserve">Con posibilidad de iniciar y configurar estudios desde la grabadora. Capacidad para modificar los rangos de presión y de exportar estudios. Debe incluir: 2 (dos) equipos de registro con sus respectivos accesorios (módulo, cable USB, manguito, manguera, estuche y cinto). Debe permitir al menos 200 mediciones por estudio y al menos 48 horas de grabación. Con puerto para descarga de datos. Debe incluir: Pilas o </w:t>
            </w:r>
            <w:r w:rsidRPr="006B7344">
              <w:rPr>
                <w:lang w:eastAsia="es-AR"/>
              </w:rPr>
              <w:t>baterías</w:t>
            </w:r>
            <w:r w:rsidRPr="006B7344">
              <w:rPr>
                <w:rFonts w:ascii="Times New Roman" w:eastAsia="Times New Roman" w:hAnsi="Times New Roman" w:cs="Times New Roman"/>
                <w:sz w:val="24"/>
                <w:szCs w:val="24"/>
                <w:lang w:eastAsia="es-AR"/>
              </w:rPr>
              <w:t xml:space="preserve">. Software y manual de usuario en español.  </w:t>
            </w:r>
          </w:p>
        </w:tc>
        <w:tc>
          <w:tcPr>
            <w:tcW w:w="851" w:type="dxa"/>
            <w:tcBorders>
              <w:top w:val="nil"/>
              <w:left w:val="nil"/>
              <w:bottom w:val="single" w:sz="4" w:space="0" w:color="auto"/>
              <w:right w:val="single" w:sz="4" w:space="0" w:color="auto"/>
            </w:tcBorders>
            <w:shd w:val="clear" w:color="auto" w:fill="auto"/>
            <w:vAlign w:val="center"/>
            <w:hideMark/>
          </w:tcPr>
          <w:p w:rsidR="00D70F8C" w:rsidRPr="006B7344" w:rsidRDefault="00D70F8C" w:rsidP="006B35FF">
            <w:pPr>
              <w:spacing w:after="0" w:line="240" w:lineRule="auto"/>
              <w:jc w:val="center"/>
              <w:rPr>
                <w:rFonts w:ascii="Times New Roman" w:eastAsia="Times New Roman" w:hAnsi="Times New Roman" w:cs="Times New Roman"/>
                <w:b/>
                <w:bCs/>
                <w:sz w:val="24"/>
                <w:szCs w:val="24"/>
                <w:lang w:eastAsia="es-AR"/>
              </w:rPr>
            </w:pPr>
            <w:r w:rsidRPr="006B7344">
              <w:rPr>
                <w:rFonts w:ascii="Times New Roman" w:eastAsia="Times New Roman" w:hAnsi="Times New Roman" w:cs="Times New Roman"/>
                <w:b/>
                <w:bCs/>
                <w:sz w:val="24"/>
                <w:szCs w:val="24"/>
                <w:lang w:eastAsia="es-AR"/>
              </w:rPr>
              <w:t>1</w:t>
            </w:r>
          </w:p>
        </w:tc>
      </w:tr>
      <w:tr w:rsidR="00D70F8C" w:rsidRPr="006B7344" w:rsidTr="006B35FF">
        <w:trPr>
          <w:trHeight w:val="3285"/>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D70F8C" w:rsidRPr="006B7344" w:rsidRDefault="00D70F8C" w:rsidP="006B35FF">
            <w:pPr>
              <w:spacing w:after="0" w:line="240" w:lineRule="auto"/>
              <w:jc w:val="center"/>
              <w:rPr>
                <w:rFonts w:ascii="Times New Roman" w:eastAsia="Times New Roman" w:hAnsi="Times New Roman" w:cs="Times New Roman"/>
                <w:b/>
                <w:bCs/>
                <w:sz w:val="24"/>
                <w:szCs w:val="24"/>
                <w:lang w:eastAsia="es-AR"/>
              </w:rPr>
            </w:pPr>
            <w:r w:rsidRPr="006B7344">
              <w:rPr>
                <w:rFonts w:ascii="Times New Roman" w:eastAsia="Times New Roman" w:hAnsi="Times New Roman" w:cs="Times New Roman"/>
                <w:b/>
                <w:bCs/>
                <w:sz w:val="24"/>
                <w:szCs w:val="24"/>
                <w:lang w:eastAsia="es-AR"/>
              </w:rPr>
              <w:t>4</w:t>
            </w:r>
          </w:p>
        </w:tc>
        <w:tc>
          <w:tcPr>
            <w:tcW w:w="8343" w:type="dxa"/>
            <w:tcBorders>
              <w:top w:val="nil"/>
              <w:left w:val="nil"/>
              <w:bottom w:val="single" w:sz="4" w:space="0" w:color="auto"/>
              <w:right w:val="single" w:sz="4" w:space="0" w:color="auto"/>
            </w:tcBorders>
            <w:shd w:val="clear" w:color="auto" w:fill="auto"/>
            <w:vAlign w:val="center"/>
            <w:hideMark/>
          </w:tcPr>
          <w:p w:rsidR="00D70F8C" w:rsidRPr="006B7344" w:rsidRDefault="00D70F8C" w:rsidP="006B35FF">
            <w:pPr>
              <w:spacing w:after="0" w:line="240" w:lineRule="auto"/>
              <w:rPr>
                <w:rFonts w:ascii="Times New Roman" w:eastAsia="Times New Roman" w:hAnsi="Times New Roman" w:cs="Times New Roman"/>
                <w:b/>
                <w:bCs/>
                <w:color w:val="000000"/>
                <w:sz w:val="24"/>
                <w:szCs w:val="24"/>
                <w:lang w:eastAsia="es-AR"/>
              </w:rPr>
            </w:pPr>
            <w:proofErr w:type="spellStart"/>
            <w:r w:rsidRPr="006B7344">
              <w:rPr>
                <w:rFonts w:ascii="Times New Roman" w:eastAsia="Times New Roman" w:hAnsi="Times New Roman" w:cs="Times New Roman"/>
                <w:b/>
                <w:bCs/>
                <w:color w:val="000000"/>
                <w:sz w:val="24"/>
                <w:szCs w:val="24"/>
                <w:lang w:eastAsia="es-AR"/>
              </w:rPr>
              <w:t>Cardiodesfibrilador</w:t>
            </w:r>
            <w:proofErr w:type="spellEnd"/>
            <w:r w:rsidRPr="006B7344">
              <w:rPr>
                <w:rFonts w:ascii="Times New Roman" w:eastAsia="Times New Roman" w:hAnsi="Times New Roman" w:cs="Times New Roman"/>
                <w:b/>
                <w:bCs/>
                <w:color w:val="000000"/>
                <w:sz w:val="24"/>
                <w:szCs w:val="24"/>
                <w:lang w:eastAsia="es-AR"/>
              </w:rPr>
              <w:t xml:space="preserve">: </w:t>
            </w:r>
            <w:r w:rsidRPr="006B7344">
              <w:rPr>
                <w:rFonts w:ascii="Times New Roman" w:eastAsia="Times New Roman" w:hAnsi="Times New Roman" w:cs="Times New Roman"/>
                <w:color w:val="000000"/>
                <w:sz w:val="24"/>
                <w:szCs w:val="24"/>
                <w:lang w:eastAsia="es-AR"/>
              </w:rPr>
              <w:t xml:space="preserve">Bifásico. Monitor de Electrocardiograma en pantalla. Señal de Electrocardiograma adquirido por cable a paciente de 5 broches. Indicación digital de frecuencia cardiaca. Indicador de batería baja y de batería en carga. Alarmas de Frecuencia Cardiaca. DESFIBRILADOR: Disparo de energía por medio de pulsador en paletas o desde teclado, Modo BIFÁSICO, llave de selección de carga por pasos: con rango de al menos 2 a 200 </w:t>
            </w:r>
            <w:proofErr w:type="spellStart"/>
            <w:r w:rsidRPr="006B7344">
              <w:rPr>
                <w:rFonts w:ascii="Times New Roman" w:eastAsia="Times New Roman" w:hAnsi="Times New Roman" w:cs="Times New Roman"/>
                <w:color w:val="000000"/>
                <w:sz w:val="24"/>
                <w:szCs w:val="24"/>
                <w:lang w:eastAsia="es-AR"/>
              </w:rPr>
              <w:t>Joules</w:t>
            </w:r>
            <w:proofErr w:type="spellEnd"/>
            <w:r w:rsidRPr="006B7344">
              <w:rPr>
                <w:rFonts w:ascii="Times New Roman" w:eastAsia="Times New Roman" w:hAnsi="Times New Roman" w:cs="Times New Roman"/>
                <w:color w:val="000000"/>
                <w:sz w:val="24"/>
                <w:szCs w:val="24"/>
                <w:lang w:eastAsia="es-AR"/>
              </w:rPr>
              <w:t xml:space="preserve">. Indicación auditiva y visual de final de carga, Indicación de energía almacenada en </w:t>
            </w:r>
            <w:proofErr w:type="spellStart"/>
            <w:r w:rsidRPr="006B7344">
              <w:rPr>
                <w:rFonts w:ascii="Times New Roman" w:eastAsia="Times New Roman" w:hAnsi="Times New Roman" w:cs="Times New Roman"/>
                <w:color w:val="000000"/>
                <w:sz w:val="24"/>
                <w:szCs w:val="24"/>
                <w:lang w:eastAsia="es-AR"/>
              </w:rPr>
              <w:t>display</w:t>
            </w:r>
            <w:proofErr w:type="spellEnd"/>
            <w:r w:rsidRPr="006B7344">
              <w:rPr>
                <w:rFonts w:ascii="Times New Roman" w:eastAsia="Times New Roman" w:hAnsi="Times New Roman" w:cs="Times New Roman"/>
                <w:color w:val="000000"/>
                <w:sz w:val="24"/>
                <w:szCs w:val="24"/>
                <w:lang w:eastAsia="es-AR"/>
              </w:rPr>
              <w:t xml:space="preserve">.  Descarga de energía por paletas pulsando, simultáneamente, los dos pulsadores incorporados en éstas. Descarga directa o sincronizada. Indicación auditiva y visual del modo sincrónico. REQUERIMIENTOS ENERGÉTICOS: Tensión de alimentación: 220V~ - 50 o 12 </w:t>
            </w:r>
            <w:proofErr w:type="spellStart"/>
            <w:r w:rsidRPr="006B7344">
              <w:rPr>
                <w:rFonts w:ascii="Times New Roman" w:eastAsia="Times New Roman" w:hAnsi="Times New Roman" w:cs="Times New Roman"/>
                <w:color w:val="000000"/>
                <w:sz w:val="24"/>
                <w:szCs w:val="24"/>
                <w:lang w:eastAsia="es-AR"/>
              </w:rPr>
              <w:t>Vcc</w:t>
            </w:r>
            <w:proofErr w:type="spellEnd"/>
            <w:r w:rsidRPr="006B7344">
              <w:rPr>
                <w:rFonts w:ascii="Times New Roman" w:eastAsia="Times New Roman" w:hAnsi="Times New Roman" w:cs="Times New Roman"/>
                <w:color w:val="000000"/>
                <w:sz w:val="24"/>
                <w:szCs w:val="24"/>
                <w:lang w:eastAsia="es-AR"/>
              </w:rPr>
              <w:t>, Batería interna recargable.</w:t>
            </w:r>
            <w:r>
              <w:rPr>
                <w:color w:val="000000"/>
                <w:lang w:eastAsia="es-AR"/>
              </w:rPr>
              <w:t xml:space="preserve"> Debe estar registrado en ANMAT</w:t>
            </w:r>
            <w:r w:rsidRPr="006B7344">
              <w:rPr>
                <w:rFonts w:ascii="Times New Roman" w:eastAsia="Times New Roman" w:hAnsi="Times New Roman" w:cs="Times New Roman"/>
                <w:color w:val="000000"/>
                <w:sz w:val="24"/>
                <w:szCs w:val="24"/>
                <w:lang w:eastAsia="es-AR"/>
              </w:rPr>
              <w:t>. Deberá incluir al menos: 1 juego de aletas externas para adultos y 1 juego de paletas externas para niños. Cable de Alimentación para entrada de +12Vcc externos. Cable de Alimentación de línea 220V~. Cable a paciente de 5 broches para ECG. Electrodos Descartables. Manual de uso en español.</w:t>
            </w:r>
          </w:p>
        </w:tc>
        <w:tc>
          <w:tcPr>
            <w:tcW w:w="851" w:type="dxa"/>
            <w:tcBorders>
              <w:top w:val="nil"/>
              <w:left w:val="nil"/>
              <w:bottom w:val="single" w:sz="4" w:space="0" w:color="auto"/>
              <w:right w:val="single" w:sz="4" w:space="0" w:color="auto"/>
            </w:tcBorders>
            <w:shd w:val="clear" w:color="auto" w:fill="auto"/>
            <w:noWrap/>
            <w:vAlign w:val="center"/>
            <w:hideMark/>
          </w:tcPr>
          <w:p w:rsidR="00D70F8C" w:rsidRPr="006B7344" w:rsidRDefault="00D70F8C" w:rsidP="006B35FF">
            <w:pPr>
              <w:spacing w:after="0" w:line="240" w:lineRule="auto"/>
              <w:jc w:val="center"/>
              <w:rPr>
                <w:rFonts w:ascii="Times New Roman" w:eastAsia="Times New Roman" w:hAnsi="Times New Roman" w:cs="Times New Roman"/>
                <w:b/>
                <w:bCs/>
                <w:color w:val="000000"/>
                <w:sz w:val="24"/>
                <w:szCs w:val="24"/>
                <w:lang w:eastAsia="es-AR"/>
              </w:rPr>
            </w:pPr>
            <w:r w:rsidRPr="006B7344">
              <w:rPr>
                <w:rFonts w:ascii="Times New Roman" w:eastAsia="Times New Roman" w:hAnsi="Times New Roman" w:cs="Times New Roman"/>
                <w:b/>
                <w:bCs/>
                <w:color w:val="000000"/>
                <w:sz w:val="24"/>
                <w:szCs w:val="24"/>
                <w:lang w:eastAsia="es-AR"/>
              </w:rPr>
              <w:t>1</w:t>
            </w:r>
          </w:p>
        </w:tc>
      </w:tr>
      <w:tr w:rsidR="00D70F8C" w:rsidRPr="006B7344" w:rsidTr="006B35FF">
        <w:trPr>
          <w:trHeight w:val="1605"/>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D70F8C" w:rsidRPr="006B7344" w:rsidRDefault="00D70F8C" w:rsidP="006B35FF">
            <w:pPr>
              <w:spacing w:after="0" w:line="240" w:lineRule="auto"/>
              <w:jc w:val="center"/>
              <w:rPr>
                <w:rFonts w:ascii="Times New Roman" w:eastAsia="Times New Roman" w:hAnsi="Times New Roman" w:cs="Times New Roman"/>
                <w:b/>
                <w:bCs/>
                <w:sz w:val="24"/>
                <w:szCs w:val="24"/>
                <w:lang w:eastAsia="es-AR"/>
              </w:rPr>
            </w:pPr>
            <w:r w:rsidRPr="006B7344">
              <w:rPr>
                <w:rFonts w:ascii="Times New Roman" w:eastAsia="Times New Roman" w:hAnsi="Times New Roman" w:cs="Times New Roman"/>
                <w:b/>
                <w:bCs/>
                <w:sz w:val="24"/>
                <w:szCs w:val="24"/>
                <w:lang w:eastAsia="es-AR"/>
              </w:rPr>
              <w:lastRenderedPageBreak/>
              <w:t>5</w:t>
            </w:r>
          </w:p>
        </w:tc>
        <w:tc>
          <w:tcPr>
            <w:tcW w:w="8343" w:type="dxa"/>
            <w:tcBorders>
              <w:top w:val="nil"/>
              <w:left w:val="nil"/>
              <w:bottom w:val="single" w:sz="4" w:space="0" w:color="auto"/>
              <w:right w:val="single" w:sz="4" w:space="0" w:color="auto"/>
            </w:tcBorders>
            <w:shd w:val="clear" w:color="auto" w:fill="auto"/>
            <w:vAlign w:val="center"/>
            <w:hideMark/>
          </w:tcPr>
          <w:p w:rsidR="00D70F8C" w:rsidRPr="006B7344" w:rsidRDefault="00D70F8C" w:rsidP="006B35FF">
            <w:pPr>
              <w:spacing w:after="0" w:line="240" w:lineRule="auto"/>
              <w:rPr>
                <w:rFonts w:ascii="Times New Roman" w:eastAsia="Times New Roman" w:hAnsi="Times New Roman" w:cs="Times New Roman"/>
                <w:b/>
                <w:bCs/>
                <w:sz w:val="24"/>
                <w:szCs w:val="24"/>
                <w:lang w:eastAsia="es-AR"/>
              </w:rPr>
            </w:pPr>
            <w:proofErr w:type="spellStart"/>
            <w:r w:rsidRPr="006B7344">
              <w:rPr>
                <w:rFonts w:ascii="Times New Roman" w:eastAsia="Times New Roman" w:hAnsi="Times New Roman" w:cs="Times New Roman"/>
                <w:b/>
                <w:bCs/>
                <w:sz w:val="24"/>
                <w:szCs w:val="24"/>
                <w:lang w:eastAsia="es-AR"/>
              </w:rPr>
              <w:t>Oximetro</w:t>
            </w:r>
            <w:proofErr w:type="spellEnd"/>
            <w:r w:rsidRPr="006B7344">
              <w:rPr>
                <w:rFonts w:ascii="Times New Roman" w:eastAsia="Times New Roman" w:hAnsi="Times New Roman" w:cs="Times New Roman"/>
                <w:b/>
                <w:bCs/>
                <w:sz w:val="24"/>
                <w:szCs w:val="24"/>
                <w:lang w:eastAsia="es-AR"/>
              </w:rPr>
              <w:t xml:space="preserve"> de pulso de mesa: </w:t>
            </w:r>
            <w:r w:rsidRPr="006B7344">
              <w:rPr>
                <w:rFonts w:ascii="Times New Roman" w:eastAsia="Times New Roman" w:hAnsi="Times New Roman" w:cs="Times New Roman"/>
                <w:sz w:val="24"/>
                <w:szCs w:val="24"/>
                <w:lang w:eastAsia="es-AR"/>
              </w:rPr>
              <w:t xml:space="preserve">Con onda </w:t>
            </w:r>
            <w:proofErr w:type="spellStart"/>
            <w:r w:rsidRPr="006B7344">
              <w:rPr>
                <w:rFonts w:ascii="Times New Roman" w:eastAsia="Times New Roman" w:hAnsi="Times New Roman" w:cs="Times New Roman"/>
                <w:sz w:val="24"/>
                <w:szCs w:val="24"/>
                <w:lang w:eastAsia="es-AR"/>
              </w:rPr>
              <w:t>plestimográfica</w:t>
            </w:r>
            <w:proofErr w:type="spellEnd"/>
            <w:r w:rsidRPr="006B7344">
              <w:rPr>
                <w:rFonts w:ascii="Times New Roman" w:eastAsia="Times New Roman" w:hAnsi="Times New Roman" w:cs="Times New Roman"/>
                <w:sz w:val="24"/>
                <w:szCs w:val="24"/>
                <w:lang w:eastAsia="es-AR"/>
              </w:rPr>
              <w:t xml:space="preserve">. Apto para adultos, pediátricos y neonatales. Con </w:t>
            </w:r>
            <w:proofErr w:type="spellStart"/>
            <w:r w:rsidRPr="006B7344">
              <w:rPr>
                <w:rFonts w:ascii="Times New Roman" w:eastAsia="Times New Roman" w:hAnsi="Times New Roman" w:cs="Times New Roman"/>
                <w:sz w:val="24"/>
                <w:szCs w:val="24"/>
                <w:lang w:eastAsia="es-AR"/>
              </w:rPr>
              <w:t>display</w:t>
            </w:r>
            <w:proofErr w:type="spellEnd"/>
            <w:r w:rsidRPr="006B7344">
              <w:rPr>
                <w:rFonts w:ascii="Times New Roman" w:eastAsia="Times New Roman" w:hAnsi="Times New Roman" w:cs="Times New Roman"/>
                <w:sz w:val="24"/>
                <w:szCs w:val="24"/>
                <w:lang w:eastAsia="es-AR"/>
              </w:rPr>
              <w:t xml:space="preserve">, alarmas audibles y visibles. Memoria para almacenamiento de datos. </w:t>
            </w:r>
            <w:r w:rsidRPr="006B7344">
              <w:rPr>
                <w:lang w:eastAsia="es-AR"/>
              </w:rPr>
              <w:t>Interface</w:t>
            </w:r>
            <w:r w:rsidRPr="006B7344">
              <w:rPr>
                <w:rFonts w:ascii="Times New Roman" w:eastAsia="Times New Roman" w:hAnsi="Times New Roman" w:cs="Times New Roman"/>
                <w:sz w:val="24"/>
                <w:szCs w:val="24"/>
                <w:lang w:eastAsia="es-AR"/>
              </w:rPr>
              <w:t xml:space="preserve"> para PC. Capacidad para trabajar en red conectado a central de monitoreo. </w:t>
            </w:r>
            <w:r w:rsidRPr="006B7344">
              <w:rPr>
                <w:lang w:eastAsia="es-AR"/>
              </w:rPr>
              <w:t>Batería</w:t>
            </w:r>
            <w:r w:rsidRPr="006B7344">
              <w:rPr>
                <w:rFonts w:ascii="Times New Roman" w:eastAsia="Times New Roman" w:hAnsi="Times New Roman" w:cs="Times New Roman"/>
                <w:sz w:val="24"/>
                <w:szCs w:val="24"/>
                <w:lang w:eastAsia="es-AR"/>
              </w:rPr>
              <w:t xml:space="preserve"> interna recargable. Sistema de salida para llamado de enfermera. Deberá incluir  2 (Dos) sensores spO2 broche adulto, 2 (Dos) sensores spO2 pediátrico reutilizables, 1 (Un) cable de alimentación, 1 (Una) batería recargable y manual en español.</w:t>
            </w:r>
          </w:p>
        </w:tc>
        <w:tc>
          <w:tcPr>
            <w:tcW w:w="851" w:type="dxa"/>
            <w:tcBorders>
              <w:top w:val="nil"/>
              <w:left w:val="nil"/>
              <w:bottom w:val="single" w:sz="4" w:space="0" w:color="auto"/>
              <w:right w:val="single" w:sz="4" w:space="0" w:color="auto"/>
            </w:tcBorders>
            <w:shd w:val="clear" w:color="auto" w:fill="auto"/>
            <w:vAlign w:val="center"/>
            <w:hideMark/>
          </w:tcPr>
          <w:p w:rsidR="00D70F8C" w:rsidRPr="006B7344" w:rsidRDefault="00D70F8C" w:rsidP="006B35FF">
            <w:pPr>
              <w:spacing w:after="0" w:line="240" w:lineRule="auto"/>
              <w:jc w:val="center"/>
              <w:rPr>
                <w:rFonts w:ascii="Times New Roman" w:eastAsia="Times New Roman" w:hAnsi="Times New Roman" w:cs="Times New Roman"/>
                <w:b/>
                <w:bCs/>
                <w:sz w:val="24"/>
                <w:szCs w:val="24"/>
                <w:lang w:eastAsia="es-AR"/>
              </w:rPr>
            </w:pPr>
            <w:r w:rsidRPr="006B7344">
              <w:rPr>
                <w:rFonts w:ascii="Times New Roman" w:eastAsia="Times New Roman" w:hAnsi="Times New Roman" w:cs="Times New Roman"/>
                <w:b/>
                <w:bCs/>
                <w:sz w:val="24"/>
                <w:szCs w:val="24"/>
                <w:lang w:eastAsia="es-AR"/>
              </w:rPr>
              <w:t>1</w:t>
            </w:r>
          </w:p>
        </w:tc>
      </w:tr>
    </w:tbl>
    <w:p w:rsidR="00D70F8C" w:rsidRPr="00284C7A" w:rsidRDefault="00D70F8C" w:rsidP="00D70F8C">
      <w:pPr>
        <w:pStyle w:val="Sangranormal"/>
        <w:tabs>
          <w:tab w:val="left" w:pos="1200"/>
          <w:tab w:val="left" w:pos="1680"/>
        </w:tabs>
        <w:ind w:left="0"/>
        <w:jc w:val="both"/>
        <w:rPr>
          <w:rFonts w:ascii="Verdana" w:hAnsi="Verdana" w:cs="Arial"/>
          <w:color w:val="FF0000"/>
          <w:sz w:val="28"/>
          <w:szCs w:val="20"/>
        </w:rPr>
      </w:pPr>
    </w:p>
    <w:p w:rsidR="00D70F8C" w:rsidRPr="003934C0" w:rsidRDefault="00D70F8C" w:rsidP="00D70F8C">
      <w:pPr>
        <w:spacing w:after="0" w:line="240" w:lineRule="auto"/>
        <w:jc w:val="center"/>
        <w:rPr>
          <w:rFonts w:ascii="Times New Roman" w:eastAsia="Times New Roman" w:hAnsi="Times New Roman" w:cs="Times New Roman"/>
          <w:b/>
          <w:sz w:val="24"/>
          <w:szCs w:val="24"/>
          <w:lang w:val="es-ES" w:eastAsia="es-ES"/>
        </w:rPr>
      </w:pPr>
      <w:r w:rsidRPr="003934C0">
        <w:rPr>
          <w:rFonts w:ascii="Times New Roman" w:eastAsia="Times New Roman" w:hAnsi="Times New Roman" w:cs="Times New Roman"/>
          <w:b/>
          <w:sz w:val="24"/>
          <w:szCs w:val="24"/>
          <w:lang w:val="es-ES" w:eastAsia="es-ES"/>
        </w:rPr>
        <w:t xml:space="preserve">ANEXO I </w:t>
      </w:r>
    </w:p>
    <w:p w:rsidR="00D70F8C" w:rsidRPr="003934C0" w:rsidRDefault="00D70F8C" w:rsidP="00D70F8C">
      <w:pPr>
        <w:spacing w:after="0" w:line="240" w:lineRule="auto"/>
        <w:jc w:val="center"/>
        <w:rPr>
          <w:rFonts w:ascii="Times New Roman" w:eastAsia="Times New Roman" w:hAnsi="Times New Roman" w:cs="Times New Roman"/>
          <w:b/>
          <w:sz w:val="24"/>
          <w:szCs w:val="24"/>
          <w:lang w:val="es-ES" w:eastAsia="es-ES"/>
        </w:rPr>
      </w:pPr>
      <w:r w:rsidRPr="003934C0">
        <w:rPr>
          <w:rFonts w:ascii="Times New Roman" w:eastAsia="Times New Roman" w:hAnsi="Times New Roman" w:cs="Times New Roman"/>
          <w:b/>
          <w:sz w:val="24"/>
          <w:szCs w:val="24"/>
          <w:lang w:val="es-ES" w:eastAsia="es-ES"/>
        </w:rPr>
        <w:t>Clausulas particulares para la compra de equipamiento biomédico</w:t>
      </w:r>
    </w:p>
    <w:p w:rsidR="00D70F8C" w:rsidRPr="003934C0" w:rsidRDefault="00D70F8C" w:rsidP="00D70F8C">
      <w:pPr>
        <w:spacing w:after="0" w:line="240" w:lineRule="auto"/>
        <w:jc w:val="center"/>
        <w:rPr>
          <w:rFonts w:ascii="Times New Roman" w:eastAsia="Times New Roman" w:hAnsi="Times New Roman" w:cs="Times New Roman"/>
          <w:b/>
          <w:sz w:val="24"/>
          <w:szCs w:val="24"/>
          <w:lang w:val="es-ES" w:eastAsia="es-ES"/>
        </w:rPr>
      </w:pPr>
    </w:p>
    <w:p w:rsidR="00D70F8C" w:rsidRPr="00D70F8C" w:rsidRDefault="00D70F8C" w:rsidP="00D70F8C">
      <w:r w:rsidRPr="003934C0">
        <w:rPr>
          <w:rFonts w:ascii="Times New Roman" w:eastAsia="Times New Roman" w:hAnsi="Times New Roman" w:cs="Times New Roman"/>
          <w:sz w:val="24"/>
          <w:szCs w:val="24"/>
          <w:lang w:val="es-ES" w:eastAsia="es-ES"/>
        </w:rPr>
        <w:t>PROCESO: Compra Directa N° 61/20 Ley 783</w:t>
      </w:r>
      <w:r>
        <w:rPr>
          <w:rFonts w:ascii="Times New Roman" w:eastAsia="Times New Roman" w:hAnsi="Times New Roman" w:cs="Times New Roman"/>
          <w:sz w:val="24"/>
          <w:szCs w:val="24"/>
          <w:lang w:val="es-ES" w:eastAsia="es-ES"/>
        </w:rPr>
        <w:t>-</w:t>
      </w:r>
      <w:r w:rsidRPr="003934C0">
        <w:rPr>
          <w:rFonts w:ascii="Times New Roman" w:eastAsia="Times New Roman" w:hAnsi="Times New Roman" w:cs="Times New Roman"/>
          <w:sz w:val="24"/>
          <w:szCs w:val="24"/>
          <w:lang w:val="es-ES" w:eastAsia="es-ES"/>
        </w:rPr>
        <w:t>P.</w:t>
      </w:r>
    </w:p>
    <w:p w:rsidR="00D70F8C" w:rsidRPr="003934C0" w:rsidRDefault="00D70F8C" w:rsidP="00D70F8C">
      <w:pPr>
        <w:rPr>
          <w:rFonts w:ascii="Times New Roman" w:eastAsia="Times New Roman" w:hAnsi="Times New Roman" w:cs="Times New Roman"/>
          <w:sz w:val="24"/>
          <w:szCs w:val="24"/>
          <w:lang w:val="es-ES" w:eastAsia="es-ES"/>
        </w:rPr>
      </w:pPr>
      <w:r w:rsidRPr="003934C0">
        <w:rPr>
          <w:rFonts w:ascii="Times New Roman" w:eastAsia="Times New Roman" w:hAnsi="Times New Roman" w:cs="Times New Roman"/>
          <w:sz w:val="24"/>
          <w:szCs w:val="24"/>
          <w:lang w:val="es-ES" w:eastAsia="es-ES"/>
        </w:rPr>
        <w:t>EXPEDIENTE: 800-004437-2020.</w:t>
      </w:r>
    </w:p>
    <w:p w:rsidR="00D70F8C" w:rsidRPr="00D70F8C" w:rsidRDefault="00D70F8C" w:rsidP="00D70F8C">
      <w:pPr>
        <w:jc w:val="both"/>
      </w:pPr>
      <w:r w:rsidRPr="003934C0">
        <w:rPr>
          <w:rFonts w:ascii="Times New Roman" w:eastAsia="Times New Roman" w:hAnsi="Times New Roman" w:cs="Times New Roman"/>
          <w:sz w:val="24"/>
          <w:szCs w:val="24"/>
          <w:lang w:val="es-ES" w:eastAsia="es-ES"/>
        </w:rPr>
        <w:t>OBJETO: Compra de equipamiento biomédico para el Proyecto de Creación de la Unidad de atención de pacientes cardiológicos ambulatorios del Hospital Dr. José Giordano de la Zona Sanitaria III, dependiente del Ministerio de Salud Pública.</w:t>
      </w:r>
    </w:p>
    <w:p w:rsidR="00D70F8C" w:rsidRPr="00D70F8C" w:rsidRDefault="00D70F8C" w:rsidP="00D70F8C">
      <w:pPr>
        <w:jc w:val="both"/>
      </w:pPr>
      <w:r w:rsidRPr="003934C0">
        <w:rPr>
          <w:rFonts w:ascii="Times New Roman" w:eastAsia="Times New Roman" w:hAnsi="Times New Roman" w:cs="Times New Roman"/>
          <w:sz w:val="24"/>
          <w:szCs w:val="24"/>
          <w:lang w:val="es-ES" w:eastAsia="es-ES"/>
        </w:rPr>
        <w:t>VALOR DEL PLIEGO: $ 3.000,00.-  (Pesos Tres Mil con 00/100.-).</w:t>
      </w:r>
    </w:p>
    <w:p w:rsidR="00D70F8C" w:rsidRPr="00D70F8C" w:rsidRDefault="00D70F8C" w:rsidP="00D70F8C">
      <w:pPr>
        <w:jc w:val="both"/>
      </w:pPr>
      <w:r w:rsidRPr="003934C0">
        <w:rPr>
          <w:rFonts w:ascii="Times New Roman" w:eastAsia="Times New Roman" w:hAnsi="Times New Roman" w:cs="Times New Roman"/>
          <w:sz w:val="24"/>
          <w:szCs w:val="24"/>
          <w:lang w:val="es-ES" w:eastAsia="es-ES"/>
        </w:rPr>
        <w:t>CÓDIGO SUGERIDO DE ACTIVIDAD: 266010 – 465350.</w:t>
      </w:r>
    </w:p>
    <w:p w:rsidR="00D70F8C" w:rsidRPr="00AA2D5B" w:rsidRDefault="00D70F8C" w:rsidP="00D70F8C">
      <w:pPr>
        <w:spacing w:after="100" w:afterAutospacing="1"/>
        <w:jc w:val="both"/>
        <w:rPr>
          <w:rFonts w:ascii="Times New Roman" w:hAnsi="Times New Roman" w:cs="Times New Roman"/>
          <w:bCs/>
          <w:sz w:val="24"/>
          <w:szCs w:val="24"/>
          <w:lang w:val="es-ES_tradnl"/>
        </w:rPr>
      </w:pPr>
      <w:r w:rsidRPr="00AA2D5B">
        <w:rPr>
          <w:rFonts w:ascii="Times New Roman" w:hAnsi="Times New Roman" w:cs="Times New Roman"/>
          <w:bCs/>
          <w:sz w:val="24"/>
          <w:szCs w:val="24"/>
          <w:lang w:val="es-ES_tradnl"/>
        </w:rPr>
        <w:t xml:space="preserve">La propuesta (Sobre General) será </w:t>
      </w:r>
      <w:proofErr w:type="spellStart"/>
      <w:r w:rsidRPr="00AA2D5B">
        <w:rPr>
          <w:rFonts w:ascii="Times New Roman" w:hAnsi="Times New Roman" w:cs="Times New Roman"/>
          <w:bCs/>
          <w:sz w:val="24"/>
          <w:szCs w:val="24"/>
          <w:lang w:val="es-ES_tradnl"/>
        </w:rPr>
        <w:t>recepcionada</w:t>
      </w:r>
      <w:proofErr w:type="spellEnd"/>
      <w:r w:rsidRPr="00AA2D5B">
        <w:rPr>
          <w:rFonts w:ascii="Times New Roman" w:hAnsi="Times New Roman" w:cs="Times New Roman"/>
          <w:bCs/>
          <w:sz w:val="24"/>
          <w:szCs w:val="24"/>
          <w:lang w:val="es-ES_tradnl"/>
        </w:rPr>
        <w:t xml:space="preserve"> en el día y hora fijado para la apertura del proceso citado, en </w:t>
      </w:r>
      <w:r>
        <w:rPr>
          <w:rFonts w:ascii="Times New Roman" w:hAnsi="Times New Roman" w:cs="Times New Roman"/>
          <w:bCs/>
          <w:sz w:val="24"/>
          <w:szCs w:val="24"/>
          <w:lang w:val="es-ES_tradnl"/>
        </w:rPr>
        <w:t>el</w:t>
      </w:r>
      <w:r w:rsidRPr="00AA2D5B">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Departamento</w:t>
      </w:r>
      <w:r w:rsidRPr="00AA2D5B">
        <w:rPr>
          <w:rFonts w:ascii="Times New Roman" w:hAnsi="Times New Roman" w:cs="Times New Roman"/>
          <w:bCs/>
          <w:sz w:val="24"/>
          <w:szCs w:val="24"/>
          <w:lang w:val="es-ES_tradnl"/>
        </w:rPr>
        <w:t xml:space="preserve"> Compras del Ministerio de Salud Pública - Nivel Central, sito en “Centro Cívico”-3er piso Núcleo 3, ubicado en Av. Libertador Gral. San Martín Nº </w:t>
      </w:r>
      <w:r>
        <w:rPr>
          <w:rFonts w:ascii="Times New Roman" w:hAnsi="Times New Roman" w:cs="Times New Roman"/>
          <w:bCs/>
          <w:sz w:val="24"/>
          <w:szCs w:val="24"/>
          <w:lang w:val="es-ES_tradnl"/>
        </w:rPr>
        <w:t>750 (Oeste) Capital - San Juan:</w:t>
      </w:r>
    </w:p>
    <w:p w:rsidR="00D70F8C" w:rsidRPr="006D6B2D" w:rsidRDefault="00D70F8C" w:rsidP="00D70F8C">
      <w:pPr>
        <w:numPr>
          <w:ilvl w:val="0"/>
          <w:numId w:val="15"/>
        </w:numPr>
        <w:spacing w:after="100" w:afterAutospacing="1" w:line="240" w:lineRule="auto"/>
        <w:ind w:left="0" w:firstLine="0"/>
        <w:jc w:val="both"/>
        <w:rPr>
          <w:rFonts w:ascii="Times New Roman" w:hAnsi="Times New Roman" w:cs="Times New Roman"/>
          <w:bCs/>
          <w:sz w:val="24"/>
          <w:szCs w:val="24"/>
          <w:lang w:val="es-ES_tradnl"/>
        </w:rPr>
      </w:pPr>
      <w:r w:rsidRPr="00935073">
        <w:rPr>
          <w:rFonts w:ascii="Times New Roman" w:hAnsi="Times New Roman" w:cs="Times New Roman"/>
          <w:b/>
          <w:bCs/>
          <w:sz w:val="24"/>
          <w:szCs w:val="24"/>
          <w:lang w:val="es-ES_tradnl"/>
        </w:rPr>
        <w:t>Formas de presentación</w:t>
      </w:r>
      <w:r>
        <w:rPr>
          <w:rFonts w:ascii="Times New Roman" w:hAnsi="Times New Roman" w:cs="Times New Roman"/>
          <w:b/>
          <w:bCs/>
          <w:sz w:val="24"/>
          <w:szCs w:val="24"/>
          <w:lang w:val="es-ES_tradnl"/>
        </w:rPr>
        <w:t xml:space="preserve"> de la Propuesta</w:t>
      </w:r>
      <w:r>
        <w:rPr>
          <w:rFonts w:ascii="Times New Roman" w:hAnsi="Times New Roman" w:cs="Times New Roman"/>
          <w:bCs/>
          <w:sz w:val="24"/>
          <w:szCs w:val="24"/>
          <w:lang w:val="es-ES_tradnl"/>
        </w:rPr>
        <w:t>:</w:t>
      </w:r>
    </w:p>
    <w:p w:rsidR="00D70F8C" w:rsidRDefault="00D70F8C" w:rsidP="00D70F8C">
      <w:pPr>
        <w:widowControl w:val="0"/>
        <w:spacing w:after="100" w:afterAutospacing="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La Propuesta se presentará en </w:t>
      </w:r>
      <w:r w:rsidRPr="00E12E66">
        <w:rPr>
          <w:rFonts w:ascii="Times New Roman" w:hAnsi="Times New Roman" w:cs="Times New Roman"/>
          <w:b/>
          <w:bCs/>
          <w:sz w:val="24"/>
          <w:szCs w:val="24"/>
          <w:lang w:val="es-ES_tradnl"/>
        </w:rPr>
        <w:t>Sobre General</w:t>
      </w:r>
      <w:r w:rsidRPr="00E12E66">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rFonts w:ascii="Times New Roman" w:hAnsi="Times New Roman" w:cs="Times New Roman"/>
          <w:b/>
          <w:bCs/>
          <w:sz w:val="24"/>
          <w:szCs w:val="24"/>
          <w:lang w:val="es-ES_tradnl"/>
        </w:rPr>
        <w:t>Sobre N°1</w:t>
      </w:r>
      <w:r w:rsidRPr="00E12E66">
        <w:rPr>
          <w:rFonts w:ascii="Times New Roman" w:hAnsi="Times New Roman" w:cs="Times New Roman"/>
          <w:bCs/>
          <w:sz w:val="24"/>
          <w:szCs w:val="24"/>
          <w:lang w:val="es-ES_tradnl"/>
        </w:rPr>
        <w:t xml:space="preserve"> con la documentación exigida</w:t>
      </w:r>
      <w:r>
        <w:rPr>
          <w:rFonts w:ascii="Times New Roman" w:hAnsi="Times New Roman" w:cs="Times New Roman"/>
          <w:bCs/>
          <w:sz w:val="24"/>
          <w:szCs w:val="24"/>
          <w:lang w:val="es-ES_tradnl"/>
        </w:rPr>
        <w:t>, redactada en idioma castellano y escrita en papel impreso,</w:t>
      </w:r>
      <w:r w:rsidRPr="00E12E66">
        <w:rPr>
          <w:rFonts w:ascii="Times New Roman" w:hAnsi="Times New Roman" w:cs="Times New Roman"/>
          <w:bCs/>
          <w:sz w:val="24"/>
          <w:szCs w:val="24"/>
          <w:lang w:val="es-ES_tradnl"/>
        </w:rPr>
        <w:t xml:space="preserve"> en original debida</w:t>
      </w:r>
      <w:r>
        <w:rPr>
          <w:rFonts w:ascii="Times New Roman" w:hAnsi="Times New Roman" w:cs="Times New Roman"/>
          <w:bCs/>
          <w:sz w:val="24"/>
          <w:szCs w:val="24"/>
          <w:lang w:val="es-ES_tradnl"/>
        </w:rPr>
        <w:t xml:space="preserve">mente certificada, legalizada, </w:t>
      </w:r>
      <w:r w:rsidRPr="00E12E66">
        <w:rPr>
          <w:rFonts w:ascii="Times New Roman" w:hAnsi="Times New Roman" w:cs="Times New Roman"/>
          <w:bCs/>
          <w:sz w:val="24"/>
          <w:szCs w:val="24"/>
          <w:lang w:val="es-ES_tradnl"/>
        </w:rPr>
        <w:t xml:space="preserve">firmada </w:t>
      </w:r>
      <w:r>
        <w:rPr>
          <w:rFonts w:ascii="Times New Roman" w:hAnsi="Times New Roman" w:cs="Times New Roman"/>
          <w:bCs/>
          <w:sz w:val="24"/>
          <w:szCs w:val="24"/>
          <w:lang w:val="es-ES_tradnl"/>
        </w:rPr>
        <w:t xml:space="preserve">y aclarada </w:t>
      </w:r>
      <w:r w:rsidRPr="00E12E66">
        <w:rPr>
          <w:rFonts w:ascii="Times New Roman" w:hAnsi="Times New Roman" w:cs="Times New Roman"/>
          <w:bCs/>
          <w:sz w:val="24"/>
          <w:szCs w:val="24"/>
          <w:lang w:val="es-ES_tradnl"/>
        </w:rPr>
        <w:t>según corresponda</w:t>
      </w:r>
      <w:r>
        <w:rPr>
          <w:rFonts w:ascii="Times New Roman" w:hAnsi="Times New Roman" w:cs="Times New Roman"/>
          <w:bCs/>
          <w:sz w:val="24"/>
          <w:szCs w:val="24"/>
          <w:lang w:val="es-ES_tradnl"/>
        </w:rPr>
        <w:t xml:space="preserve"> en cada cara escrita de cada hoja, y</w:t>
      </w:r>
      <w:r w:rsidRPr="00E12E66">
        <w:rPr>
          <w:rFonts w:ascii="Times New Roman" w:hAnsi="Times New Roman" w:cs="Times New Roman"/>
          <w:bCs/>
          <w:sz w:val="24"/>
          <w:szCs w:val="24"/>
          <w:lang w:val="es-ES_tradnl"/>
        </w:rPr>
        <w:t xml:space="preserve"> el duplicado en copia simple firmado y aclarado por el proponente. Y el </w:t>
      </w:r>
      <w:r w:rsidRPr="00E12E66">
        <w:rPr>
          <w:rFonts w:ascii="Times New Roman" w:hAnsi="Times New Roman" w:cs="Times New Roman"/>
          <w:b/>
          <w:bCs/>
          <w:sz w:val="24"/>
          <w:szCs w:val="24"/>
          <w:lang w:val="es-ES_tradnl"/>
        </w:rPr>
        <w:t>Sobre N° 2</w:t>
      </w:r>
      <w:r w:rsidRPr="00E12E66">
        <w:rPr>
          <w:rFonts w:ascii="Times New Roman" w:hAnsi="Times New Roman" w:cs="Times New Roman"/>
          <w:bCs/>
          <w:sz w:val="24"/>
          <w:szCs w:val="24"/>
          <w:lang w:val="es-ES_tradnl"/>
        </w:rPr>
        <w:t xml:space="preserve"> con la Oferta Económica Principal con el de</w:t>
      </w:r>
      <w:r>
        <w:rPr>
          <w:rFonts w:ascii="Times New Roman" w:hAnsi="Times New Roman" w:cs="Times New Roman"/>
          <w:bCs/>
          <w:sz w:val="24"/>
          <w:szCs w:val="24"/>
          <w:lang w:val="es-ES_tradnl"/>
        </w:rPr>
        <w:t xml:space="preserve">talle técnico que la acompañe, ambos </w:t>
      </w:r>
      <w:r w:rsidRPr="00E12E66">
        <w:rPr>
          <w:rFonts w:ascii="Times New Roman" w:hAnsi="Times New Roman" w:cs="Times New Roman"/>
          <w:bCs/>
          <w:sz w:val="24"/>
          <w:szCs w:val="24"/>
          <w:lang w:val="es-ES_tradnl"/>
        </w:rPr>
        <w:t>por duplicado</w:t>
      </w:r>
      <w:r>
        <w:rPr>
          <w:rFonts w:ascii="Times New Roman" w:hAnsi="Times New Roman" w:cs="Times New Roman"/>
          <w:bCs/>
          <w:sz w:val="24"/>
          <w:szCs w:val="24"/>
          <w:lang w:val="es-ES_tradnl"/>
        </w:rPr>
        <w:t>, firmada y aclarada según corresponda en cada cara escrita de cada hoja</w:t>
      </w:r>
      <w:r w:rsidRPr="00E12E66">
        <w:rPr>
          <w:rFonts w:ascii="Times New Roman" w:hAnsi="Times New Roman" w:cs="Times New Roman"/>
          <w:bCs/>
          <w:sz w:val="24"/>
          <w:szCs w:val="24"/>
          <w:lang w:val="es-ES_tradnl"/>
        </w:rPr>
        <w:t xml:space="preserve">. En caso de presentar Oferta Económica Alternativa con el detalle técnico respectivo, </w:t>
      </w:r>
      <w:r>
        <w:rPr>
          <w:rFonts w:ascii="Times New Roman" w:hAnsi="Times New Roman" w:cs="Times New Roman"/>
          <w:bCs/>
          <w:sz w:val="24"/>
          <w:szCs w:val="24"/>
          <w:lang w:val="es-ES_tradnl"/>
        </w:rPr>
        <w:t xml:space="preserve">ambos </w:t>
      </w:r>
      <w:r w:rsidRPr="00E12E66">
        <w:rPr>
          <w:rFonts w:ascii="Times New Roman" w:hAnsi="Times New Roman" w:cs="Times New Roman"/>
          <w:bCs/>
          <w:sz w:val="24"/>
          <w:szCs w:val="24"/>
          <w:lang w:val="es-ES_tradnl"/>
        </w:rPr>
        <w:t>por duplicado, en sobre cerrado separado y dentro del Sobre General.</w:t>
      </w:r>
    </w:p>
    <w:p w:rsidR="00D70F8C" w:rsidRPr="00E12E66" w:rsidRDefault="00D70F8C" w:rsidP="00D70F8C">
      <w:pPr>
        <w:widowControl w:val="0"/>
        <w:spacing w:after="100" w:afterAutospacing="1"/>
        <w:jc w:val="both"/>
        <w:rPr>
          <w:rFonts w:ascii="Times New Roman" w:hAnsi="Times New Roman" w:cs="Times New Roman"/>
          <w:bCs/>
          <w:sz w:val="24"/>
          <w:szCs w:val="24"/>
          <w:lang w:val="es-ES_tradnl"/>
        </w:rPr>
      </w:pPr>
      <w:r w:rsidRPr="008F6A37">
        <w:rPr>
          <w:rFonts w:ascii="Times New Roman" w:hAnsi="Times New Roman" w:cs="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D70F8C" w:rsidRPr="00E12E66" w:rsidRDefault="00D70F8C" w:rsidP="00D70F8C">
      <w:pPr>
        <w:widowControl w:val="0"/>
        <w:numPr>
          <w:ilvl w:val="0"/>
          <w:numId w:val="13"/>
        </w:numPr>
        <w:spacing w:after="100" w:afterAutospacing="1" w:line="240" w:lineRule="auto"/>
        <w:ind w:left="567"/>
        <w:jc w:val="both"/>
        <w:rPr>
          <w:rFonts w:ascii="Times New Roman" w:hAnsi="Times New Roman" w:cs="Times New Roman"/>
          <w:b/>
          <w:bCs/>
          <w:sz w:val="24"/>
          <w:szCs w:val="24"/>
          <w:lang w:val="es-ES_tradnl"/>
        </w:rPr>
      </w:pPr>
      <w:r w:rsidRPr="00E12E66">
        <w:rPr>
          <w:rFonts w:ascii="Times New Roman" w:hAnsi="Times New Roman" w:cs="Times New Roman"/>
          <w:b/>
          <w:bCs/>
          <w:sz w:val="24"/>
          <w:szCs w:val="24"/>
          <w:lang w:val="es-ES_tradnl"/>
        </w:rPr>
        <w:t>La documentación exigida (Sobre N° 1) será:</w:t>
      </w:r>
    </w:p>
    <w:p w:rsidR="00D70F8C" w:rsidRPr="00E12E66" w:rsidRDefault="00D70F8C" w:rsidP="00D70F8C">
      <w:pPr>
        <w:widowControl w:val="0"/>
        <w:spacing w:after="100" w:afterAutospacing="1"/>
        <w:ind w:left="425"/>
        <w:jc w:val="both"/>
        <w:rPr>
          <w:rFonts w:ascii="Times New Roman" w:hAnsi="Times New Roman" w:cs="Times New Roman"/>
          <w:b/>
          <w:bCs/>
          <w:sz w:val="24"/>
          <w:szCs w:val="24"/>
          <w:u w:val="single"/>
          <w:lang w:val="es-ES_tradnl"/>
        </w:rPr>
      </w:pPr>
      <w:r w:rsidRPr="00E12E66">
        <w:rPr>
          <w:rFonts w:ascii="Times New Roman" w:hAnsi="Times New Roman" w:cs="Times New Roman"/>
          <w:b/>
          <w:bCs/>
          <w:sz w:val="24"/>
          <w:szCs w:val="24"/>
          <w:u w:val="single"/>
          <w:lang w:val="es-ES_tradnl"/>
        </w:rPr>
        <w:t>DOCUMENTACIÓN GENERAL</w:t>
      </w:r>
    </w:p>
    <w:p w:rsidR="00D70F8C" w:rsidRPr="00090C8C" w:rsidRDefault="00D70F8C" w:rsidP="00D70F8C">
      <w:pPr>
        <w:numPr>
          <w:ilvl w:val="0"/>
          <w:numId w:val="14"/>
        </w:numPr>
        <w:suppressAutoHyphens/>
        <w:spacing w:after="120" w:line="240" w:lineRule="auto"/>
        <w:ind w:left="851"/>
        <w:jc w:val="both"/>
        <w:rPr>
          <w:rFonts w:ascii="Times New Roman" w:hAnsi="Times New Roman" w:cs="Times New Roman"/>
          <w:bCs/>
          <w:sz w:val="24"/>
          <w:szCs w:val="24"/>
          <w:lang w:val="es-ES_tradnl"/>
        </w:rPr>
      </w:pPr>
      <w:r w:rsidRPr="00090C8C">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D70F8C" w:rsidRPr="00E12E66" w:rsidRDefault="00D70F8C" w:rsidP="00D70F8C">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Destinatario de Pago del Estado Provincial</w:t>
      </w:r>
      <w:r>
        <w:rPr>
          <w:rFonts w:ascii="Times New Roman" w:hAnsi="Times New Roman" w:cs="Times New Roman"/>
          <w:bCs/>
          <w:sz w:val="24"/>
          <w:szCs w:val="24"/>
          <w:lang w:val="es-ES_tradnl"/>
        </w:rPr>
        <w:t xml:space="preserve"> o RUPE (Registro Único de Proveedores del Estado)</w:t>
      </w:r>
      <w:r w:rsidRPr="00E12E66">
        <w:rPr>
          <w:rFonts w:ascii="Times New Roman" w:hAnsi="Times New Roman" w:cs="Times New Roman"/>
          <w:bCs/>
          <w:sz w:val="24"/>
          <w:szCs w:val="24"/>
          <w:lang w:val="es-ES_tradnl"/>
        </w:rPr>
        <w:t>.</w:t>
      </w:r>
    </w:p>
    <w:p w:rsidR="00D70F8C" w:rsidRPr="00E12E66" w:rsidRDefault="00D70F8C" w:rsidP="00D70F8C">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Copia de certificado expedido por el Comité Ejecutivo Ley Nº 552-A, donde conste si el oferente es deudor del ente residual del Banco San Juan S.A., en qué situación se </w:t>
      </w:r>
      <w:r w:rsidRPr="00E12E66">
        <w:rPr>
          <w:rFonts w:ascii="Times New Roman" w:hAnsi="Times New Roman" w:cs="Times New Roman"/>
          <w:bCs/>
          <w:sz w:val="24"/>
          <w:szCs w:val="24"/>
          <w:lang w:val="es-ES_tradnl"/>
        </w:rPr>
        <w:lastRenderedPageBreak/>
        <w:t>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D70F8C" w:rsidRPr="00E12E66" w:rsidRDefault="00D70F8C" w:rsidP="00D70F8C">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D70F8C" w:rsidRPr="00E12E66" w:rsidRDefault="00D70F8C" w:rsidP="00D70F8C">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constancia de inscripción en la AFIP vigente</w:t>
      </w:r>
      <w:r>
        <w:rPr>
          <w:rFonts w:ascii="Times New Roman" w:hAnsi="Times New Roman" w:cs="Times New Roman"/>
          <w:bCs/>
          <w:sz w:val="24"/>
          <w:szCs w:val="24"/>
          <w:lang w:val="es-ES_tradnl"/>
        </w:rPr>
        <w:t>.</w:t>
      </w:r>
    </w:p>
    <w:p w:rsidR="00D70F8C" w:rsidRPr="00E12E66" w:rsidRDefault="00D70F8C" w:rsidP="00D70F8C">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o Constancia de Inscripción de Ingresos Brutos vigente, con la actividad o rubro que se cotiza.</w:t>
      </w:r>
    </w:p>
    <w:p w:rsidR="00D70F8C" w:rsidRPr="00E12E66" w:rsidRDefault="00D70F8C" w:rsidP="00D70F8C">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Deberá presentar: </w:t>
      </w:r>
    </w:p>
    <w:p w:rsidR="00D70F8C" w:rsidRPr="00E12E66" w:rsidRDefault="00D70F8C" w:rsidP="00D70F8C">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D70F8C" w:rsidRPr="00E12E66" w:rsidRDefault="00D70F8C" w:rsidP="00D70F8C">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D70F8C" w:rsidRPr="00E12E66" w:rsidRDefault="00D70F8C" w:rsidP="00D70F8C">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Constituir Domicilio Legal para el presente trámite en la Provincia de San Juan.</w:t>
      </w:r>
    </w:p>
    <w:p w:rsidR="00D70F8C" w:rsidRPr="00E12E66" w:rsidRDefault="00D70F8C" w:rsidP="00D70F8C">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D70F8C" w:rsidRPr="00E12E66" w:rsidRDefault="00D70F8C" w:rsidP="00D70F8C">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Personas Jurídicas</w:t>
      </w:r>
      <w:r w:rsidRPr="00E12E66">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D70F8C" w:rsidRPr="00E12E66" w:rsidRDefault="00D70F8C" w:rsidP="00D70F8C">
      <w:pPr>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 xml:space="preserve">Personas Físicas </w:t>
      </w:r>
      <w:r w:rsidRPr="00E12E66">
        <w:rPr>
          <w:rFonts w:ascii="Times New Roman" w:hAnsi="Times New Roman" w:cs="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D70F8C" w:rsidRPr="00E12E66" w:rsidRDefault="00D70F8C" w:rsidP="00D70F8C">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D70F8C" w:rsidRDefault="00D70F8C" w:rsidP="00D70F8C">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D70F8C" w:rsidRPr="00593911" w:rsidRDefault="00D70F8C" w:rsidP="00D70F8C">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FA12C6">
        <w:rPr>
          <w:rFonts w:ascii="Times New Roman" w:hAnsi="Times New Roman" w:cs="Times New Roman"/>
          <w:b/>
          <w:bCs/>
          <w:sz w:val="24"/>
          <w:szCs w:val="24"/>
          <w:lang w:val="es-ES_tradnl"/>
        </w:rPr>
        <w:t>Garantía de Oferta</w:t>
      </w:r>
      <w:r w:rsidRPr="00FA12C6">
        <w:rPr>
          <w:rFonts w:ascii="Times New Roman" w:hAnsi="Times New Roman" w:cs="Times New Roman"/>
          <w:bCs/>
          <w:sz w:val="24"/>
          <w:szCs w:val="24"/>
          <w:lang w:val="es-ES_tradnl"/>
        </w:rPr>
        <w:t xml:space="preserve">: Presentar garantía equivalente al </w:t>
      </w:r>
      <w:r w:rsidRPr="00FA12C6">
        <w:rPr>
          <w:rFonts w:ascii="Times New Roman" w:hAnsi="Times New Roman" w:cs="Times New Roman"/>
          <w:b/>
          <w:bCs/>
          <w:sz w:val="24"/>
          <w:szCs w:val="24"/>
          <w:lang w:val="es-ES_tradnl"/>
        </w:rPr>
        <w:t>1%</w:t>
      </w:r>
      <w:r w:rsidRPr="00FA12C6">
        <w:rPr>
          <w:rFonts w:ascii="Times New Roman" w:hAnsi="Times New Roman" w:cs="Times New Roman"/>
          <w:bCs/>
          <w:sz w:val="24"/>
          <w:szCs w:val="24"/>
          <w:lang w:val="es-ES_tradnl"/>
        </w:rPr>
        <w:t xml:space="preserve"> del mayor valor total ofertado en cualquiera de las siguientes formas: </w:t>
      </w:r>
    </w:p>
    <w:p w:rsidR="00D70F8C" w:rsidRDefault="00D70F8C" w:rsidP="00D70F8C">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D70F8C" w:rsidRDefault="00D70F8C" w:rsidP="00D70F8C">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D70F8C" w:rsidRPr="009B610F" w:rsidRDefault="00D70F8C" w:rsidP="00D70F8C">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D70F8C" w:rsidRPr="009B610F" w:rsidRDefault="00D70F8C" w:rsidP="00D70F8C">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Efectivo, es decir un Depósito Bancario en la cuenta Oficial, deberá completar el formulario en la aplicación del Banco San Juan, con todos los datos del Acto </w:t>
      </w:r>
      <w:r w:rsidRPr="009B610F">
        <w:rPr>
          <w:rFonts w:ascii="Times New Roman" w:hAnsi="Times New Roman" w:cs="Times New Roman"/>
          <w:bCs/>
          <w:sz w:val="24"/>
          <w:szCs w:val="24"/>
          <w:lang w:val="es-ES_tradnl"/>
        </w:rPr>
        <w:lastRenderedPageBreak/>
        <w:t>Administrativo que corresponda. Según Circular Conjunta N° 002-OCC-2019 y 001-TGP-2019.</w:t>
      </w:r>
    </w:p>
    <w:p w:rsidR="00D70F8C" w:rsidRPr="009B610F" w:rsidRDefault="00D70F8C" w:rsidP="00D70F8C">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D70F8C" w:rsidRPr="009B610F" w:rsidRDefault="00D70F8C" w:rsidP="00D70F8C">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D70F8C" w:rsidRDefault="00D70F8C" w:rsidP="00D70F8C">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D70F8C" w:rsidRDefault="00D70F8C" w:rsidP="00D70F8C">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D70F8C" w:rsidRDefault="00D70F8C" w:rsidP="00D70F8C">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D70F8C" w:rsidRDefault="00D70F8C" w:rsidP="00D70F8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D70F8C" w:rsidRDefault="00D70F8C" w:rsidP="00D70F8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D70F8C" w:rsidRDefault="00D70F8C" w:rsidP="00D70F8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D70F8C" w:rsidRDefault="00D70F8C" w:rsidP="00D70F8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D70F8C" w:rsidRDefault="00D70F8C" w:rsidP="00D70F8C">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D70F8C" w:rsidRDefault="00D70F8C" w:rsidP="00D70F8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D70F8C" w:rsidRDefault="00D70F8C" w:rsidP="00D70F8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D70F8C" w:rsidRDefault="00D70F8C" w:rsidP="00D70F8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D70F8C" w:rsidRDefault="00D70F8C" w:rsidP="00D70F8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D70F8C" w:rsidRDefault="00D70F8C" w:rsidP="00D70F8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D70F8C" w:rsidRDefault="00D70F8C" w:rsidP="00D70F8C">
      <w:pPr>
        <w:pStyle w:val="NormalWeb"/>
        <w:spacing w:before="0" w:beforeAutospacing="0" w:after="0" w:line="276" w:lineRule="auto"/>
        <w:jc w:val="both"/>
        <w:rPr>
          <w:rFonts w:eastAsiaTheme="minorHAnsi"/>
          <w:bCs/>
          <w:lang w:val="es-ES_tradnl" w:eastAsia="en-US"/>
        </w:rPr>
      </w:pPr>
    </w:p>
    <w:p w:rsidR="00D70F8C" w:rsidRDefault="00D70F8C" w:rsidP="00D70F8C">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D70F8C" w:rsidRDefault="00D70F8C" w:rsidP="00D70F8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D70F8C" w:rsidRDefault="00D70F8C" w:rsidP="00D70F8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D70F8C" w:rsidRDefault="00D70F8C" w:rsidP="00D70F8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D70F8C" w:rsidRDefault="00D70F8C" w:rsidP="00D70F8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D70F8C" w:rsidRDefault="00D70F8C" w:rsidP="00D70F8C">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D70F8C" w:rsidRDefault="00D70F8C" w:rsidP="00D70F8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D70F8C" w:rsidRDefault="00D70F8C" w:rsidP="00D70F8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D70F8C" w:rsidRDefault="00D70F8C" w:rsidP="00D70F8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D70F8C" w:rsidRDefault="00D70F8C" w:rsidP="00D70F8C">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D70F8C" w:rsidRPr="00734B3B" w:rsidRDefault="00D70F8C" w:rsidP="00D70F8C">
      <w:pPr>
        <w:pStyle w:val="NormalWeb"/>
        <w:spacing w:before="0" w:beforeAutospacing="0" w:after="0" w:line="276" w:lineRule="auto"/>
        <w:ind w:left="851"/>
        <w:jc w:val="both"/>
        <w:rPr>
          <w:rFonts w:eastAsiaTheme="minorHAnsi"/>
        </w:rPr>
      </w:pPr>
    </w:p>
    <w:p w:rsidR="00D70F8C" w:rsidRPr="00E12E66" w:rsidRDefault="00D70F8C" w:rsidP="00D70F8C">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Compra de Pliego</w:t>
      </w:r>
      <w:r w:rsidRPr="00E12E66">
        <w:rPr>
          <w:rFonts w:ascii="Times New Roman" w:hAnsi="Times New Roman" w:cs="Times New Roman"/>
          <w:bCs/>
          <w:sz w:val="24"/>
          <w:szCs w:val="24"/>
          <w:lang w:val="es-ES_tradnl"/>
        </w:rPr>
        <w:t>: El valor de compra deberá ser depositado en la Cuenta Nº 600-209361/9-Recursos Propios- del Banco San Juan S.A.- El comprobante de depósito, por la adquisición del pliego, deberá ser incluido en el Sobre</w:t>
      </w:r>
      <w:r>
        <w:rPr>
          <w:rFonts w:ascii="Times New Roman" w:hAnsi="Times New Roman" w:cs="Times New Roman"/>
          <w:bCs/>
          <w:sz w:val="24"/>
          <w:szCs w:val="24"/>
          <w:lang w:val="es-ES_tradnl"/>
        </w:rPr>
        <w:t xml:space="preserve"> N°1</w:t>
      </w:r>
      <w:r w:rsidRPr="00E12E66">
        <w:rPr>
          <w:rFonts w:ascii="Times New Roman" w:hAnsi="Times New Roman" w:cs="Times New Roman"/>
          <w:bCs/>
          <w:sz w:val="24"/>
          <w:szCs w:val="24"/>
          <w:lang w:val="es-ES_tradnl"/>
        </w:rPr>
        <w:t xml:space="preserve"> con la Documentación solicitada </w:t>
      </w:r>
    </w:p>
    <w:p w:rsidR="00D70F8C" w:rsidRPr="00E12E66" w:rsidRDefault="00D70F8C" w:rsidP="00D70F8C">
      <w:pPr>
        <w:suppressAutoHyphens/>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En caso de realizar la adquisición del presente mediante transferencia bancaria la misma debe</w:t>
      </w:r>
      <w:r>
        <w:rPr>
          <w:rFonts w:ascii="Times New Roman" w:hAnsi="Times New Roman" w:cs="Times New Roman"/>
          <w:bCs/>
          <w:sz w:val="24"/>
          <w:szCs w:val="24"/>
          <w:lang w:val="es-ES_tradnl"/>
        </w:rPr>
        <w:t>rá ser verificada en el Departamento</w:t>
      </w:r>
      <w:r w:rsidRPr="00E12E66">
        <w:rPr>
          <w:rFonts w:ascii="Times New Roman" w:hAnsi="Times New Roman" w:cs="Times New Roman"/>
          <w:bCs/>
          <w:sz w:val="24"/>
          <w:szCs w:val="24"/>
          <w:lang w:val="es-ES_tradnl"/>
        </w:rPr>
        <w:t xml:space="preserve"> Tesorería de este Ministerio previo a su </w:t>
      </w:r>
      <w:r>
        <w:rPr>
          <w:rFonts w:ascii="Times New Roman" w:hAnsi="Times New Roman" w:cs="Times New Roman"/>
          <w:bCs/>
          <w:sz w:val="24"/>
          <w:szCs w:val="24"/>
          <w:lang w:val="es-ES_tradnl"/>
        </w:rPr>
        <w:t>incorporación al Sobre N° 1 de D</w:t>
      </w:r>
      <w:r w:rsidRPr="00E12E66">
        <w:rPr>
          <w:rFonts w:ascii="Times New Roman" w:hAnsi="Times New Roman" w:cs="Times New Roman"/>
          <w:bCs/>
          <w:sz w:val="24"/>
          <w:szCs w:val="24"/>
          <w:lang w:val="es-ES_tradnl"/>
        </w:rPr>
        <w:t>ocumentación.</w:t>
      </w:r>
    </w:p>
    <w:p w:rsidR="00D70F8C" w:rsidRPr="00E12E66" w:rsidRDefault="00D70F8C" w:rsidP="00D70F8C">
      <w:pPr>
        <w:widowControl w:val="0"/>
        <w:numPr>
          <w:ilvl w:val="0"/>
          <w:numId w:val="14"/>
        </w:numPr>
        <w:suppressAutoHyphens/>
        <w:spacing w:after="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Mantenimiento de Oferta</w:t>
      </w:r>
      <w:r w:rsidRPr="00E12E66">
        <w:rPr>
          <w:rFonts w:ascii="Times New Roman" w:hAnsi="Times New Roman" w:cs="Times New Roman"/>
          <w:bCs/>
          <w:sz w:val="24"/>
          <w:szCs w:val="24"/>
          <w:lang w:val="es-ES_tradnl"/>
        </w:rPr>
        <w:t xml:space="preserve">: El Oferente deberá mantener por medio de una declaración jurada las Ofertas por un término no inferior a Veinte (20) días hábiles, a contar de la </w:t>
      </w:r>
      <w:r w:rsidRPr="00E12E66">
        <w:rPr>
          <w:rFonts w:ascii="Times New Roman" w:hAnsi="Times New Roman" w:cs="Times New Roman"/>
          <w:bCs/>
          <w:sz w:val="24"/>
          <w:szCs w:val="24"/>
          <w:lang w:val="es-ES_tradnl"/>
        </w:rPr>
        <w:lastRenderedPageBreak/>
        <w:t>presentación de las mismas, pudiendo el Ministerio de Salud Pública, disponer su prórroga en forma automática, por Diez (10) días hábiles más. La declaración jurada puede ser agregada con la documentación en el Sobre</w:t>
      </w:r>
      <w:r>
        <w:rPr>
          <w:rFonts w:ascii="Times New Roman" w:hAnsi="Times New Roman" w:cs="Times New Roman"/>
          <w:bCs/>
          <w:sz w:val="24"/>
          <w:szCs w:val="24"/>
          <w:lang w:val="es-ES_tradnl"/>
        </w:rPr>
        <w:t xml:space="preserve"> N°</w:t>
      </w:r>
      <w:r w:rsidRPr="00E12E66">
        <w:rPr>
          <w:rFonts w:ascii="Times New Roman" w:hAnsi="Times New Roman" w:cs="Times New Roman"/>
          <w:bCs/>
          <w:sz w:val="24"/>
          <w:szCs w:val="24"/>
          <w:lang w:val="es-ES_tradnl"/>
        </w:rPr>
        <w:t xml:space="preserve"> 1 (Uno) o en</w:t>
      </w:r>
      <w:r>
        <w:rPr>
          <w:rFonts w:ascii="Times New Roman" w:hAnsi="Times New Roman" w:cs="Times New Roman"/>
          <w:bCs/>
          <w:sz w:val="24"/>
          <w:szCs w:val="24"/>
          <w:lang w:val="es-ES_tradnl"/>
        </w:rPr>
        <w:t xml:space="preserve"> el Sobre N° 2</w:t>
      </w:r>
      <w:r w:rsidRPr="00E12E66">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 xml:space="preserve">con </w:t>
      </w:r>
      <w:r w:rsidRPr="00E12E66">
        <w:rPr>
          <w:rFonts w:ascii="Times New Roman" w:hAnsi="Times New Roman" w:cs="Times New Roman"/>
          <w:bCs/>
          <w:sz w:val="24"/>
          <w:szCs w:val="24"/>
          <w:lang w:val="es-ES_tradnl"/>
        </w:rPr>
        <w:t>la Oferta Económica.</w:t>
      </w:r>
    </w:p>
    <w:p w:rsidR="00D70F8C" w:rsidRDefault="00D70F8C" w:rsidP="00D70F8C">
      <w:pPr>
        <w:widowControl w:val="0"/>
        <w:ind w:left="851"/>
        <w:jc w:val="both"/>
        <w:rPr>
          <w:bCs/>
          <w:lang w:val="es-ES_tradnl"/>
        </w:rPr>
      </w:pPr>
      <w:r w:rsidRPr="00E12E66">
        <w:rPr>
          <w:rFonts w:ascii="Times New Roman" w:hAnsi="Times New Roman" w:cs="Times New Roman"/>
          <w:bCs/>
          <w:sz w:val="24"/>
          <w:szCs w:val="24"/>
          <w:lang w:val="es-ES_tradnl"/>
        </w:rPr>
        <w:t xml:space="preserve">El aviso de retiro de la propuesta deberá hacerse en todos los casos en forma fehaciente y con un máximo de Cinco (5) días hábiles posteriores a la fecha de apertura. </w:t>
      </w:r>
    </w:p>
    <w:p w:rsidR="00D70F8C" w:rsidRPr="00E12E66" w:rsidRDefault="00D70F8C" w:rsidP="00D70F8C">
      <w:pPr>
        <w:widowControl w:val="0"/>
        <w:ind w:left="851"/>
        <w:jc w:val="both"/>
        <w:rPr>
          <w:rFonts w:ascii="Times New Roman" w:hAnsi="Times New Roman" w:cs="Times New Roman"/>
          <w:bCs/>
          <w:sz w:val="24"/>
          <w:szCs w:val="24"/>
          <w:lang w:val="es-ES_tradnl"/>
        </w:rPr>
      </w:pPr>
    </w:p>
    <w:p w:rsidR="00D70F8C" w:rsidRPr="00734B3B" w:rsidRDefault="00D70F8C" w:rsidP="00D70F8C">
      <w:pPr>
        <w:pStyle w:val="Prrafodelista"/>
        <w:widowControl w:val="0"/>
        <w:numPr>
          <w:ilvl w:val="0"/>
          <w:numId w:val="14"/>
        </w:numPr>
        <w:spacing w:after="100" w:afterAutospacing="1"/>
        <w:ind w:left="786"/>
        <w:jc w:val="both"/>
        <w:rPr>
          <w:rFonts w:ascii="Times New Roman" w:hAnsi="Times New Roman" w:cs="Times New Roman"/>
          <w:b/>
          <w:bCs/>
          <w:sz w:val="24"/>
          <w:szCs w:val="24"/>
          <w:u w:val="single"/>
          <w:lang w:val="es-ES_tradnl"/>
        </w:rPr>
      </w:pPr>
      <w:r w:rsidRPr="00734B3B">
        <w:rPr>
          <w:rFonts w:ascii="Times New Roman" w:hAnsi="Times New Roman" w:cs="Times New Roman"/>
          <w:b/>
          <w:bCs/>
          <w:sz w:val="24"/>
          <w:szCs w:val="24"/>
          <w:u w:val="single"/>
          <w:lang w:val="es-ES_tradnl"/>
        </w:rPr>
        <w:t>Documentación Específica para adquisición de Equipamiento Biomédico</w:t>
      </w:r>
    </w:p>
    <w:p w:rsidR="00D70F8C" w:rsidRPr="003934C0" w:rsidRDefault="00D70F8C" w:rsidP="00D70F8C">
      <w:pPr>
        <w:widowControl w:val="0"/>
        <w:suppressAutoHyphens/>
        <w:spacing w:after="120" w:line="240" w:lineRule="auto"/>
        <w:ind w:left="851"/>
        <w:jc w:val="both"/>
        <w:rPr>
          <w:rFonts w:ascii="Times New Roman" w:hAnsi="Times New Roman" w:cs="Times New Roman"/>
          <w:bCs/>
          <w:sz w:val="24"/>
          <w:szCs w:val="24"/>
          <w:lang w:val="es-ES_tradnl"/>
        </w:rPr>
      </w:pPr>
      <w:r w:rsidRPr="003934C0">
        <w:rPr>
          <w:rFonts w:ascii="Times New Roman" w:hAnsi="Times New Roman" w:cs="Times New Roman"/>
          <w:b/>
          <w:bCs/>
          <w:sz w:val="24"/>
          <w:szCs w:val="24"/>
          <w:lang w:val="es-ES_tradnl"/>
        </w:rPr>
        <w:t>Garantía</w:t>
      </w:r>
      <w:r w:rsidRPr="003934C0">
        <w:rPr>
          <w:rFonts w:ascii="Times New Roman" w:hAnsi="Times New Roman" w:cs="Times New Roman"/>
          <w:bCs/>
          <w:sz w:val="24"/>
          <w:szCs w:val="24"/>
          <w:lang w:val="es-ES_tradnl"/>
        </w:rPr>
        <w:t>: El oferente debe adjuntar, en carácter de declaración jurada, la siguiente información:</w:t>
      </w:r>
    </w:p>
    <w:p w:rsidR="00D70F8C" w:rsidRPr="003934C0" w:rsidRDefault="00D70F8C" w:rsidP="00D70F8C">
      <w:pPr>
        <w:widowControl w:val="0"/>
        <w:numPr>
          <w:ilvl w:val="0"/>
          <w:numId w:val="18"/>
        </w:numPr>
        <w:suppressAutoHyphens/>
        <w:spacing w:after="120" w:line="240" w:lineRule="auto"/>
        <w:jc w:val="both"/>
        <w:rPr>
          <w:rFonts w:ascii="Times New Roman" w:hAnsi="Times New Roman" w:cs="Times New Roman"/>
          <w:bCs/>
          <w:sz w:val="24"/>
          <w:szCs w:val="24"/>
          <w:lang w:val="es-ES_tradnl"/>
        </w:rPr>
      </w:pPr>
      <w:r w:rsidRPr="003934C0">
        <w:rPr>
          <w:rFonts w:ascii="Times New Roman" w:hAnsi="Times New Roman" w:cs="Times New Roman"/>
          <w:bCs/>
          <w:sz w:val="24"/>
          <w:szCs w:val="24"/>
          <w:lang w:val="es-ES_tradnl"/>
        </w:rPr>
        <w:t>Garantía escrita de los bienes ofertados y la provisión de repuestos en caso de reemplazo de piezas o parte de las mismas, por un término no inferior a doce (12) meses, detallando dirección y datos de contactos para este fin.</w:t>
      </w:r>
    </w:p>
    <w:p w:rsidR="00D70F8C" w:rsidRPr="003934C0" w:rsidRDefault="00D70F8C" w:rsidP="00D70F8C">
      <w:pPr>
        <w:widowControl w:val="0"/>
        <w:numPr>
          <w:ilvl w:val="0"/>
          <w:numId w:val="18"/>
        </w:numPr>
        <w:suppressAutoHyphens/>
        <w:spacing w:after="120" w:line="240" w:lineRule="auto"/>
        <w:jc w:val="both"/>
        <w:rPr>
          <w:rFonts w:ascii="Times New Roman" w:hAnsi="Times New Roman" w:cs="Times New Roman"/>
          <w:bCs/>
          <w:sz w:val="24"/>
          <w:szCs w:val="24"/>
          <w:lang w:val="es-ES_tradnl"/>
        </w:rPr>
      </w:pPr>
      <w:r w:rsidRPr="003934C0">
        <w:rPr>
          <w:rFonts w:ascii="Times New Roman" w:hAnsi="Times New Roman" w:cs="Times New Roman"/>
          <w:bCs/>
          <w:sz w:val="24"/>
          <w:szCs w:val="24"/>
          <w:lang w:val="es-ES_tradnl"/>
        </w:rPr>
        <w:t>Una descripción de la capacidad técnica, los talleres, las instalaciones y el equipamiento y stock con el que cuenta el oferente para brindar la garantía de buen funcionamiento.</w:t>
      </w:r>
    </w:p>
    <w:p w:rsidR="00D70F8C" w:rsidRPr="003934C0" w:rsidRDefault="00D70F8C" w:rsidP="00D70F8C">
      <w:pPr>
        <w:widowControl w:val="0"/>
        <w:numPr>
          <w:ilvl w:val="0"/>
          <w:numId w:val="18"/>
        </w:numPr>
        <w:suppressAutoHyphens/>
        <w:spacing w:after="120" w:line="240" w:lineRule="auto"/>
        <w:jc w:val="both"/>
        <w:rPr>
          <w:rFonts w:ascii="Times New Roman" w:hAnsi="Times New Roman" w:cs="Times New Roman"/>
          <w:bCs/>
          <w:sz w:val="24"/>
          <w:szCs w:val="24"/>
          <w:lang w:val="es-ES_tradnl"/>
        </w:rPr>
      </w:pPr>
      <w:r w:rsidRPr="003934C0">
        <w:rPr>
          <w:rFonts w:ascii="Times New Roman" w:hAnsi="Times New Roman" w:cs="Times New Roman"/>
          <w:bCs/>
          <w:sz w:val="24"/>
          <w:szCs w:val="24"/>
          <w:lang w:val="es-ES_tradnl"/>
        </w:rPr>
        <w:t>Deberá presentar, junto con la oferta, las copias de las portadas y los índices de los manuales en idioma original o castellano.</w:t>
      </w:r>
    </w:p>
    <w:p w:rsidR="00D70F8C" w:rsidRPr="003934C0" w:rsidRDefault="00D70F8C" w:rsidP="00D70F8C">
      <w:pPr>
        <w:widowControl w:val="0"/>
        <w:numPr>
          <w:ilvl w:val="0"/>
          <w:numId w:val="18"/>
        </w:numPr>
        <w:suppressAutoHyphens/>
        <w:spacing w:after="120" w:line="240" w:lineRule="auto"/>
        <w:jc w:val="both"/>
        <w:rPr>
          <w:rFonts w:ascii="Times New Roman" w:hAnsi="Times New Roman" w:cs="Times New Roman"/>
          <w:bCs/>
          <w:sz w:val="24"/>
          <w:szCs w:val="24"/>
          <w:lang w:val="es-ES_tradnl"/>
        </w:rPr>
      </w:pPr>
      <w:r w:rsidRPr="003934C0">
        <w:rPr>
          <w:rFonts w:ascii="Times New Roman" w:hAnsi="Times New Roman" w:cs="Times New Roman"/>
          <w:bCs/>
          <w:sz w:val="24"/>
          <w:szCs w:val="24"/>
          <w:lang w:val="es-ES_tradnl"/>
        </w:rPr>
        <w:t>El compromiso de mantener en la República Argentina, la capacidad técnica, los talleres, el equipamiento y los repuestos suficientes para suministrar los servicios de mantenimiento preventivo y correctivo de los equipos por un periodo mínimo de doce (12) meses a partir de la recepción definitiva de los bienes.</w:t>
      </w:r>
    </w:p>
    <w:p w:rsidR="00D70F8C" w:rsidRPr="003934C0" w:rsidRDefault="00D70F8C" w:rsidP="00D70F8C">
      <w:pPr>
        <w:widowControl w:val="0"/>
        <w:numPr>
          <w:ilvl w:val="0"/>
          <w:numId w:val="18"/>
        </w:numPr>
        <w:suppressAutoHyphens/>
        <w:spacing w:after="120" w:line="240" w:lineRule="auto"/>
        <w:jc w:val="both"/>
        <w:rPr>
          <w:rFonts w:ascii="Times New Roman" w:hAnsi="Times New Roman" w:cs="Times New Roman"/>
          <w:bCs/>
          <w:sz w:val="24"/>
          <w:szCs w:val="24"/>
          <w:lang w:val="es-ES_tradnl"/>
        </w:rPr>
      </w:pPr>
      <w:r w:rsidRPr="003934C0">
        <w:rPr>
          <w:rFonts w:ascii="Times New Roman" w:hAnsi="Times New Roman" w:cs="Times New Roman"/>
          <w:bCs/>
          <w:sz w:val="24"/>
          <w:szCs w:val="24"/>
          <w:lang w:val="es-ES_tradnl"/>
        </w:rPr>
        <w:t>Para Equipamiento Biomédico: Deberán dar cumplimiento a la normativa de ANMAT correspondiente.</w:t>
      </w:r>
    </w:p>
    <w:p w:rsidR="00D70F8C" w:rsidRDefault="00D70F8C" w:rsidP="00D70F8C">
      <w:pPr>
        <w:widowControl w:val="0"/>
        <w:numPr>
          <w:ilvl w:val="0"/>
          <w:numId w:val="13"/>
        </w:numPr>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En el Sobre N° 2</w:t>
      </w:r>
      <w:r w:rsidRPr="001E7EBE">
        <w:rPr>
          <w:rFonts w:ascii="Times New Roman" w:hAnsi="Times New Roman" w:cs="Times New Roman"/>
          <w:bCs/>
          <w:sz w:val="24"/>
          <w:szCs w:val="24"/>
          <w:lang w:val="es-ES_tradnl"/>
        </w:rPr>
        <w:t xml:space="preserve"> se deberá incorporar la </w:t>
      </w:r>
      <w:r>
        <w:rPr>
          <w:rFonts w:ascii="Times New Roman" w:hAnsi="Times New Roman" w:cs="Times New Roman"/>
          <w:bCs/>
          <w:sz w:val="24"/>
          <w:szCs w:val="24"/>
          <w:lang w:val="es-ES_tradnl"/>
        </w:rPr>
        <w:t>Oferta Económica Principal y</w:t>
      </w:r>
      <w:r w:rsidRPr="001E7EBE">
        <w:rPr>
          <w:rFonts w:ascii="Times New Roman" w:hAnsi="Times New Roman" w:cs="Times New Roman"/>
          <w:bCs/>
          <w:sz w:val="24"/>
          <w:szCs w:val="24"/>
          <w:lang w:val="es-ES_tradnl"/>
        </w:rPr>
        <w:t xml:space="preserve"> el</w:t>
      </w:r>
      <w:r>
        <w:rPr>
          <w:rFonts w:ascii="Times New Roman" w:hAnsi="Times New Roman" w:cs="Times New Roman"/>
          <w:bCs/>
          <w:sz w:val="24"/>
          <w:szCs w:val="24"/>
          <w:lang w:val="es-ES_tradnl"/>
        </w:rPr>
        <w:t xml:space="preserve"> detalle técnico que la acompañe, todo será por duplicado, firmado y aclarado en cada cara escrita de cada hoja por separado de la documentación legal exigida</w:t>
      </w:r>
      <w:r w:rsidRPr="001E7EBE">
        <w:rPr>
          <w:rFonts w:ascii="Times New Roman" w:hAnsi="Times New Roman" w:cs="Times New Roman"/>
          <w:bCs/>
          <w:sz w:val="24"/>
          <w:szCs w:val="24"/>
          <w:lang w:val="es-ES_tradnl"/>
        </w:rPr>
        <w:t>.</w:t>
      </w:r>
    </w:p>
    <w:p w:rsidR="00D70F8C" w:rsidRDefault="00D70F8C" w:rsidP="00D70F8C">
      <w:pPr>
        <w:widowControl w:val="0"/>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D70F8C" w:rsidRDefault="00D70F8C" w:rsidP="00D70F8C">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D70F8C" w:rsidRPr="003934C0" w:rsidRDefault="00D70F8C" w:rsidP="00D70F8C">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D70F8C" w:rsidRPr="00291346" w:rsidRDefault="00D70F8C" w:rsidP="00D70F8C">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D70F8C" w:rsidRPr="001E7EBE" w:rsidRDefault="00D70F8C" w:rsidP="00D70F8C">
      <w:pPr>
        <w:numPr>
          <w:ilvl w:val="0"/>
          <w:numId w:val="10"/>
        </w:numPr>
        <w:suppressAutoHyphens/>
        <w:spacing w:after="0"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En </w:t>
      </w:r>
      <w:r>
        <w:rPr>
          <w:rFonts w:ascii="Times New Roman" w:hAnsi="Times New Roman" w:cs="Times New Roman"/>
          <w:bCs/>
          <w:sz w:val="24"/>
          <w:szCs w:val="24"/>
          <w:lang w:val="es-ES_tradnl"/>
        </w:rPr>
        <w:t>P</w:t>
      </w:r>
      <w:r w:rsidRPr="001E7EBE">
        <w:rPr>
          <w:rFonts w:ascii="Times New Roman" w:hAnsi="Times New Roman" w:cs="Times New Roman"/>
          <w:bCs/>
          <w:sz w:val="24"/>
          <w:szCs w:val="24"/>
          <w:lang w:val="es-ES_tradnl"/>
        </w:rPr>
        <w:t>esos, escrito en Números y</w:t>
      </w:r>
      <w:r>
        <w:rPr>
          <w:rFonts w:ascii="Times New Roman" w:hAnsi="Times New Roman" w:cs="Times New Roman"/>
          <w:bCs/>
          <w:sz w:val="24"/>
          <w:szCs w:val="24"/>
          <w:lang w:val="es-ES_tradnl"/>
        </w:rPr>
        <w:t xml:space="preserve"> el total general ofertado expresado en números y l</w:t>
      </w:r>
      <w:r w:rsidRPr="001E7EBE">
        <w:rPr>
          <w:rFonts w:ascii="Times New Roman" w:hAnsi="Times New Roman" w:cs="Times New Roman"/>
          <w:bCs/>
          <w:sz w:val="24"/>
          <w:szCs w:val="24"/>
          <w:lang w:val="es-ES_tradnl"/>
        </w:rPr>
        <w:t>etras.</w:t>
      </w:r>
    </w:p>
    <w:p w:rsidR="00D70F8C" w:rsidRPr="001E7EBE" w:rsidRDefault="00D70F8C" w:rsidP="00D70F8C">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D70F8C" w:rsidRPr="001E7EBE" w:rsidRDefault="00D70F8C" w:rsidP="00D70F8C">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El proponente podrá formular la propuesta por todo o parte de lo solicitado, siempre por renglón completo. Podrá cotizar también una sola alternativa, cuando haya cotizado el renglón principal </w:t>
      </w:r>
      <w:r>
        <w:rPr>
          <w:rFonts w:ascii="Times New Roman" w:hAnsi="Times New Roman" w:cs="Times New Roman"/>
          <w:bCs/>
          <w:sz w:val="24"/>
          <w:szCs w:val="24"/>
          <w:lang w:val="es-ES_tradnl"/>
        </w:rPr>
        <w:t>y hacerlo en sobre separado</w:t>
      </w:r>
      <w:r w:rsidRPr="001E7EBE">
        <w:rPr>
          <w:rFonts w:ascii="Times New Roman" w:hAnsi="Times New Roman" w:cs="Times New Roman"/>
          <w:bCs/>
          <w:sz w:val="24"/>
          <w:szCs w:val="24"/>
          <w:lang w:val="es-ES_tradnl"/>
        </w:rPr>
        <w:t>. Deberá individualizar el proceso y presentar por duplicado la oferta. En el caso de que la com</w:t>
      </w:r>
      <w:r>
        <w:rPr>
          <w:rFonts w:ascii="Times New Roman" w:hAnsi="Times New Roman" w:cs="Times New Roman"/>
          <w:bCs/>
          <w:sz w:val="24"/>
          <w:szCs w:val="24"/>
          <w:lang w:val="es-ES_tradnl"/>
        </w:rPr>
        <w:t>pra sea realizada en lotes, esta</w:t>
      </w:r>
      <w:r w:rsidRPr="001E7EBE">
        <w:rPr>
          <w:rFonts w:ascii="Times New Roman" w:hAnsi="Times New Roman" w:cs="Times New Roman"/>
          <w:bCs/>
          <w:sz w:val="24"/>
          <w:szCs w:val="24"/>
          <w:lang w:val="es-ES_tradnl"/>
        </w:rPr>
        <w:t xml:space="preserve"> será la unidad mínima de cotización y adjudicación.</w:t>
      </w:r>
    </w:p>
    <w:p w:rsidR="00D70F8C" w:rsidRPr="00012FC5" w:rsidRDefault="00D70F8C" w:rsidP="00D70F8C">
      <w:pPr>
        <w:numPr>
          <w:ilvl w:val="0"/>
          <w:numId w:val="15"/>
        </w:numPr>
        <w:spacing w:after="100" w:afterAutospacing="1" w:line="240" w:lineRule="auto"/>
        <w:ind w:left="720" w:hanging="720"/>
        <w:jc w:val="both"/>
        <w:rPr>
          <w:rFonts w:ascii="Times New Roman" w:hAnsi="Times New Roman" w:cs="Times New Roman"/>
          <w:bCs/>
          <w:sz w:val="24"/>
          <w:szCs w:val="24"/>
          <w:lang w:val="es-ES_tradnl"/>
        </w:rPr>
      </w:pPr>
      <w:r w:rsidRPr="00012FC5">
        <w:rPr>
          <w:rFonts w:ascii="Times New Roman" w:hAnsi="Times New Roman" w:cs="Times New Roman"/>
          <w:b/>
          <w:bCs/>
          <w:sz w:val="24"/>
          <w:szCs w:val="24"/>
          <w:lang w:val="es-ES_tradnl"/>
        </w:rPr>
        <w:t>Rechazo Automático</w:t>
      </w:r>
      <w:r w:rsidRPr="00012FC5">
        <w:rPr>
          <w:rFonts w:ascii="Times New Roman" w:hAnsi="Times New Roman" w:cs="Times New Roman"/>
          <w:bCs/>
          <w:sz w:val="24"/>
          <w:szCs w:val="24"/>
          <w:lang w:val="es-ES_tradnl"/>
        </w:rPr>
        <w:t>:</w:t>
      </w:r>
    </w:p>
    <w:p w:rsidR="00D70F8C" w:rsidRPr="00012FC5" w:rsidRDefault="00D70F8C" w:rsidP="00D70F8C">
      <w:pPr>
        <w:spacing w:after="100" w:afterAutospacing="1" w:line="240" w:lineRule="auto"/>
        <w:jc w:val="both"/>
        <w:rPr>
          <w:rFonts w:ascii="Times New Roman" w:hAnsi="Times New Roman" w:cs="Times New Roman"/>
          <w:bCs/>
          <w:sz w:val="24"/>
          <w:szCs w:val="24"/>
          <w:lang w:val="es-ES_tradnl"/>
        </w:rPr>
      </w:pPr>
      <w:r w:rsidRPr="00012FC5">
        <w:rPr>
          <w:rFonts w:ascii="Times New Roman" w:hAnsi="Times New Roman" w:cs="Times New Roman"/>
          <w:bCs/>
          <w:sz w:val="24"/>
          <w:szCs w:val="24"/>
          <w:lang w:val="es-ES_tradnl"/>
        </w:rPr>
        <w:t>La forma de presentación  de la Propuesta del Articulo N° 1, los requisitos establecidos en el artículo 1°, punto A  en los incisos 1, 2, 4, 5, 6, 7, 8, 10</w:t>
      </w:r>
      <w:r w:rsidRPr="003934C0">
        <w:rPr>
          <w:rFonts w:ascii="Times New Roman" w:hAnsi="Times New Roman" w:cs="Times New Roman"/>
          <w:bCs/>
          <w:sz w:val="24"/>
          <w:szCs w:val="24"/>
          <w:lang w:val="es-ES_tradnl"/>
        </w:rPr>
        <w:t>, 11, 12, 13, 14 y</w:t>
      </w:r>
      <w:r w:rsidRPr="00012FC5">
        <w:rPr>
          <w:rFonts w:ascii="Times New Roman" w:hAnsi="Times New Roman" w:cs="Times New Roman"/>
          <w:bCs/>
          <w:sz w:val="24"/>
          <w:szCs w:val="24"/>
          <w:lang w:val="es-ES_tradnl"/>
        </w:rPr>
        <w:t xml:space="preserve">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D70F8C" w:rsidRPr="00935073" w:rsidRDefault="00D70F8C" w:rsidP="00D70F8C">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lastRenderedPageBreak/>
        <w:t xml:space="preserve">Disposiciones generales: </w:t>
      </w:r>
    </w:p>
    <w:p w:rsidR="00D70F8C" w:rsidRPr="001E7EBE" w:rsidRDefault="00D70F8C" w:rsidP="00D70F8C">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Facultades de la Administración</w:t>
      </w:r>
      <w:r w:rsidRPr="001E7EBE">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D70F8C" w:rsidRDefault="00D70F8C" w:rsidP="00D70F8C">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D70F8C" w:rsidRPr="001E7EBE" w:rsidRDefault="00D70F8C" w:rsidP="00D70F8C">
      <w:pPr>
        <w:pStyle w:val="NormalWeb"/>
        <w:spacing w:before="0" w:beforeAutospacing="0" w:after="0"/>
        <w:ind w:left="426"/>
        <w:jc w:val="both"/>
        <w:rPr>
          <w:rFonts w:eastAsiaTheme="minorHAnsi"/>
          <w:bCs/>
          <w:lang w:val="es-ES_tradnl" w:eastAsia="en-US"/>
        </w:rPr>
      </w:pPr>
    </w:p>
    <w:p w:rsidR="00D70F8C" w:rsidRDefault="00D70F8C" w:rsidP="00D70F8C">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Impugnaciones</w:t>
      </w:r>
      <w:r w:rsidRPr="001E7EBE">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D70F8C" w:rsidRPr="007D34C3" w:rsidRDefault="00D70F8C" w:rsidP="00D70F8C">
      <w:pPr>
        <w:widowControl w:val="0"/>
        <w:suppressAutoHyphens/>
        <w:spacing w:after="0" w:line="240" w:lineRule="auto"/>
        <w:ind w:left="426" w:right="74"/>
        <w:jc w:val="both"/>
        <w:rPr>
          <w:rFonts w:ascii="Times New Roman" w:hAnsi="Times New Roman" w:cs="Times New Roman"/>
          <w:bCs/>
          <w:sz w:val="24"/>
          <w:szCs w:val="24"/>
          <w:lang w:val="es-ES_tradnl"/>
        </w:rPr>
      </w:pPr>
    </w:p>
    <w:p w:rsidR="00D70F8C" w:rsidRPr="001E7EBE" w:rsidRDefault="00D70F8C" w:rsidP="00D70F8C">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D70F8C" w:rsidRPr="001E7EBE" w:rsidRDefault="00D70F8C" w:rsidP="00D70F8C">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D70F8C" w:rsidRPr="001E7EBE" w:rsidRDefault="00D70F8C" w:rsidP="00D70F8C">
      <w:pPr>
        <w:pStyle w:val="NormalWeb"/>
        <w:spacing w:before="0" w:beforeAutospacing="0" w:after="0"/>
        <w:ind w:left="426"/>
        <w:jc w:val="both"/>
        <w:rPr>
          <w:rFonts w:eastAsiaTheme="minorHAnsi"/>
          <w:b/>
          <w:bCs/>
          <w:lang w:val="es-ES_tradnl" w:eastAsia="en-US"/>
        </w:rPr>
      </w:pPr>
    </w:p>
    <w:p w:rsidR="00D70F8C" w:rsidRDefault="00D70F8C" w:rsidP="00D70F8C">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Notificaciones</w:t>
      </w:r>
      <w:r w:rsidRPr="001E7EBE">
        <w:rPr>
          <w:rFonts w:ascii="Times New Roman" w:hAnsi="Times New Roman" w:cs="Times New Roman"/>
          <w:bCs/>
          <w:sz w:val="24"/>
          <w:szCs w:val="24"/>
          <w:lang w:val="es-ES_tradnl"/>
        </w:rPr>
        <w:t xml:space="preserve">: Las notificaciones se realizarán personalmente por el Oferente en la Oficina de </w:t>
      </w:r>
      <w:r>
        <w:rPr>
          <w:rFonts w:ascii="Times New Roman" w:hAnsi="Times New Roman" w:cs="Times New Roman"/>
          <w:bCs/>
          <w:sz w:val="24"/>
          <w:szCs w:val="24"/>
          <w:lang w:val="es-ES_tradnl"/>
        </w:rPr>
        <w:t>Departamento</w:t>
      </w:r>
      <w:r w:rsidRPr="001E7EBE">
        <w:rPr>
          <w:rFonts w:ascii="Times New Roman" w:hAnsi="Times New Roman" w:cs="Times New Roman"/>
          <w:bCs/>
          <w:sz w:val="24"/>
          <w:szCs w:val="24"/>
          <w:lang w:val="es-ES_tradnl"/>
        </w:rPr>
        <w:t xml:space="preserve"> Compras del Ministerio de Salud Pública o en el domicilio constituido por parte del oferente, y se considerarán válidas se encuentre o no presente en el mismo.- </w:t>
      </w:r>
    </w:p>
    <w:p w:rsidR="00D70F8C" w:rsidRDefault="00D70F8C" w:rsidP="00D70F8C">
      <w:pPr>
        <w:suppressAutoHyphens/>
        <w:spacing w:after="0" w:line="240" w:lineRule="auto"/>
        <w:ind w:left="426"/>
        <w:jc w:val="both"/>
        <w:rPr>
          <w:rFonts w:ascii="Times New Roman" w:hAnsi="Times New Roman" w:cs="Times New Roman"/>
          <w:bCs/>
          <w:sz w:val="24"/>
          <w:szCs w:val="24"/>
          <w:lang w:val="es-ES_tradnl"/>
        </w:rPr>
      </w:pPr>
    </w:p>
    <w:p w:rsidR="00D70F8C" w:rsidRDefault="00D70F8C" w:rsidP="00D70F8C">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605C88">
        <w:rPr>
          <w:rFonts w:ascii="Times New Roman" w:hAnsi="Times New Roman" w:cs="Times New Roman"/>
          <w:b/>
          <w:bCs/>
          <w:sz w:val="24"/>
          <w:szCs w:val="24"/>
          <w:lang w:val="es-ES_tradnl"/>
        </w:rPr>
        <w:t>Garantía de Adjudicación</w:t>
      </w:r>
      <w:r w:rsidRPr="00605C88">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D70F8C" w:rsidRPr="00605C88" w:rsidRDefault="00D70F8C" w:rsidP="00D70F8C">
      <w:pPr>
        <w:suppressAutoHyphens/>
        <w:spacing w:after="0" w:line="240" w:lineRule="auto"/>
        <w:jc w:val="both"/>
        <w:rPr>
          <w:rFonts w:ascii="Times New Roman" w:hAnsi="Times New Roman" w:cs="Times New Roman"/>
          <w:bCs/>
          <w:sz w:val="24"/>
          <w:szCs w:val="24"/>
          <w:lang w:val="es-ES_tradnl"/>
        </w:rPr>
      </w:pPr>
    </w:p>
    <w:p w:rsidR="00D70F8C" w:rsidRPr="00031FA6" w:rsidRDefault="00D70F8C" w:rsidP="00D70F8C">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sidRPr="00031FA6">
        <w:rPr>
          <w:rFonts w:ascii="Times New Roman" w:hAnsi="Times New Roman" w:cs="Times New Roman"/>
          <w:bCs/>
          <w:sz w:val="24"/>
          <w:szCs w:val="24"/>
          <w:u w:val="single"/>
          <w:lang w:val="es-ES_tradnl"/>
        </w:rPr>
        <w:t>Títulos aforados a su valor nominal de la deuda pública Provincial o Nacional.</w:t>
      </w:r>
    </w:p>
    <w:p w:rsidR="00D70F8C" w:rsidRDefault="00D70F8C" w:rsidP="00D70F8C">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sidRPr="00031FA6">
        <w:rPr>
          <w:rFonts w:ascii="Times New Roman" w:hAnsi="Times New Roman" w:cs="Times New Roman"/>
          <w:bCs/>
          <w:sz w:val="24"/>
          <w:szCs w:val="24"/>
          <w:u w:val="single"/>
          <w:lang w:val="es-ES_tradnl"/>
        </w:rPr>
        <w:t>Aval bancario.</w:t>
      </w:r>
    </w:p>
    <w:p w:rsidR="00D70F8C" w:rsidRPr="009B610F" w:rsidRDefault="00D70F8C" w:rsidP="00D70F8C">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D70F8C" w:rsidRPr="009B610F" w:rsidRDefault="00D70F8C" w:rsidP="00D70F8C">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D70F8C" w:rsidRPr="009B610F" w:rsidRDefault="00D70F8C" w:rsidP="00D70F8C">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D70F8C" w:rsidRPr="009B610F" w:rsidRDefault="00D70F8C" w:rsidP="00D70F8C">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D70F8C" w:rsidRPr="00C413E3" w:rsidRDefault="00D70F8C" w:rsidP="00D70F8C">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lastRenderedPageBreak/>
        <w:t>El comprobante de la boleta o transferencia deberá ser incluido en el Sobre con la Documentación solicitada.</w:t>
      </w:r>
    </w:p>
    <w:p w:rsidR="00D70F8C" w:rsidRPr="00E55FF1" w:rsidRDefault="00D70F8C" w:rsidP="00D70F8C">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D70F8C" w:rsidRPr="00E55FF1" w:rsidRDefault="00D70F8C" w:rsidP="00D70F8C">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D70F8C" w:rsidRPr="00E55FF1" w:rsidRDefault="00D70F8C" w:rsidP="00D70F8C">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D70F8C" w:rsidRPr="00E55FF1" w:rsidRDefault="00D70F8C" w:rsidP="00D70F8C">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D70F8C" w:rsidRPr="00E55FF1" w:rsidRDefault="00D70F8C" w:rsidP="00D70F8C">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D70F8C" w:rsidRPr="00E55FF1" w:rsidRDefault="00D70F8C" w:rsidP="00D70F8C">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D70F8C" w:rsidRPr="00E55FF1" w:rsidRDefault="00D70F8C" w:rsidP="00D70F8C">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D70F8C" w:rsidRPr="00E55FF1" w:rsidRDefault="00D70F8C" w:rsidP="00D70F8C">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D70F8C" w:rsidRPr="00E55FF1" w:rsidRDefault="00D70F8C" w:rsidP="00D70F8C">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D70F8C" w:rsidRPr="00E55FF1" w:rsidRDefault="00D70F8C" w:rsidP="00D70F8C">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D70F8C" w:rsidRDefault="00D70F8C" w:rsidP="00D70F8C">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D70F8C" w:rsidRDefault="00D70F8C" w:rsidP="00D70F8C">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D70F8C" w:rsidRPr="00E55FF1" w:rsidRDefault="00D70F8C" w:rsidP="00D70F8C">
      <w:pPr>
        <w:pStyle w:val="NormalWeb"/>
        <w:spacing w:before="0" w:beforeAutospacing="0" w:after="0" w:line="276" w:lineRule="auto"/>
        <w:ind w:left="851"/>
        <w:jc w:val="both"/>
        <w:rPr>
          <w:rFonts w:eastAsiaTheme="minorHAnsi"/>
          <w:bCs/>
          <w:lang w:val="es-ES_tradnl" w:eastAsia="en-US"/>
        </w:rPr>
      </w:pPr>
    </w:p>
    <w:p w:rsidR="00D70F8C" w:rsidRPr="00E55FF1" w:rsidRDefault="00D70F8C" w:rsidP="00D70F8C">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Seguro de Caución</w:t>
      </w:r>
      <w:r w:rsidRPr="00031FA6">
        <w:rPr>
          <w:rFonts w:eastAsiaTheme="minorHAnsi"/>
          <w:bCs/>
          <w:lang w:val="es-ES_tradnl" w:eastAsia="en-US"/>
        </w:rPr>
        <w:t>:</w:t>
      </w:r>
      <w:r>
        <w:rPr>
          <w:rFonts w:eastAsiaTheme="minorHAnsi"/>
          <w:bCs/>
          <w:lang w:val="es-ES_tradnl" w:eastAsia="en-US"/>
        </w:rPr>
        <w:t xml:space="preserve"> </w:t>
      </w:r>
      <w:r w:rsidRPr="00E55FF1">
        <w:rPr>
          <w:rFonts w:eastAsiaTheme="minorHAnsi"/>
          <w:bCs/>
          <w:lang w:val="es-ES_tradnl" w:eastAsia="en-US"/>
        </w:rPr>
        <w:t xml:space="preserve">La póliza de seguro debe contener la siguiente información:  </w:t>
      </w:r>
    </w:p>
    <w:p w:rsidR="00D70F8C" w:rsidRPr="00E55FF1" w:rsidRDefault="00D70F8C" w:rsidP="00D70F8C">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D70F8C" w:rsidRPr="00E55FF1" w:rsidRDefault="00D70F8C" w:rsidP="00D70F8C">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D70F8C" w:rsidRPr="00E55FF1" w:rsidRDefault="00D70F8C" w:rsidP="00D70F8C">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D70F8C" w:rsidRPr="00E55FF1" w:rsidRDefault="00D70F8C" w:rsidP="00D70F8C">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D70F8C" w:rsidRPr="00E55FF1" w:rsidRDefault="00D70F8C" w:rsidP="00D70F8C">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D70F8C" w:rsidRPr="00E55FF1" w:rsidRDefault="00D70F8C" w:rsidP="00D70F8C">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D70F8C" w:rsidRPr="00E55FF1" w:rsidRDefault="00D70F8C" w:rsidP="00D70F8C">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D70F8C" w:rsidRPr="00E55FF1" w:rsidRDefault="00D70F8C" w:rsidP="00D70F8C">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D70F8C" w:rsidRPr="00605C88" w:rsidRDefault="00D70F8C" w:rsidP="00D70F8C">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D70F8C" w:rsidRPr="001E7EBE" w:rsidRDefault="00D70F8C" w:rsidP="00D70F8C">
      <w:pPr>
        <w:suppressAutoHyphens/>
        <w:spacing w:after="0" w:line="240" w:lineRule="auto"/>
        <w:ind w:left="426"/>
        <w:jc w:val="both"/>
        <w:rPr>
          <w:bCs/>
          <w:lang w:val="es-ES_tradnl"/>
        </w:rPr>
      </w:pPr>
    </w:p>
    <w:p w:rsidR="00D70F8C" w:rsidRPr="00006C5E" w:rsidRDefault="00D70F8C" w:rsidP="00D70F8C">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D70F8C" w:rsidRDefault="00D70F8C" w:rsidP="00D70F8C">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D70F8C" w:rsidRPr="008B3756" w:rsidRDefault="00D70F8C" w:rsidP="00D70F8C">
      <w:pPr>
        <w:pStyle w:val="NormalWeb"/>
        <w:spacing w:before="0" w:beforeAutospacing="0" w:after="0"/>
        <w:jc w:val="both"/>
        <w:rPr>
          <w:rFonts w:eastAsiaTheme="minorHAnsi"/>
          <w:bCs/>
          <w:lang w:val="es-ES_tradnl" w:eastAsia="en-US"/>
        </w:rPr>
      </w:pPr>
      <w:r>
        <w:t xml:space="preserve">1) Causales de Suspensión por el plazo de 180 días: </w:t>
      </w:r>
    </w:p>
    <w:p w:rsidR="00D70F8C" w:rsidRDefault="00D70F8C" w:rsidP="00D70F8C">
      <w:pPr>
        <w:pStyle w:val="NormalWeb"/>
        <w:spacing w:before="0" w:beforeAutospacing="0" w:after="0"/>
        <w:ind w:left="426"/>
        <w:jc w:val="both"/>
      </w:pPr>
      <w:r>
        <w:t xml:space="preserve">a) Incumplir en forma total o parcial con la entrega de los bienes o la realización de los servicios. </w:t>
      </w:r>
    </w:p>
    <w:p w:rsidR="00D70F8C" w:rsidRDefault="00D70F8C" w:rsidP="00D70F8C">
      <w:pPr>
        <w:pStyle w:val="NormalWeb"/>
        <w:spacing w:before="0" w:beforeAutospacing="0" w:after="0"/>
        <w:ind w:left="426"/>
        <w:jc w:val="both"/>
      </w:pPr>
      <w:r>
        <w:t xml:space="preserve">b) Entregar los bienes o prestar los servicios fuera del término en más de dos oportunidades, dentro del mismo ejercicio. </w:t>
      </w:r>
    </w:p>
    <w:p w:rsidR="00D70F8C" w:rsidRDefault="00D70F8C" w:rsidP="00D70F8C">
      <w:pPr>
        <w:pStyle w:val="NormalWeb"/>
        <w:spacing w:before="0" w:beforeAutospacing="0" w:after="0"/>
        <w:ind w:left="426"/>
        <w:jc w:val="both"/>
      </w:pPr>
      <w:r>
        <w:t xml:space="preserve">c) Entregar bienes o prestar servicios que no cumplan los requisitos de especificidad establecidos en la oferta.  </w:t>
      </w:r>
    </w:p>
    <w:p w:rsidR="00D70F8C" w:rsidRDefault="00D70F8C" w:rsidP="00D70F8C">
      <w:pPr>
        <w:pStyle w:val="NormalWeb"/>
        <w:spacing w:before="0" w:beforeAutospacing="0" w:after="0"/>
        <w:ind w:left="-284" w:firstLine="284"/>
        <w:jc w:val="both"/>
      </w:pPr>
      <w:r>
        <w:t xml:space="preserve">2) Causales de Inhabilitación Temporaria o Permanente: </w:t>
      </w:r>
    </w:p>
    <w:p w:rsidR="00D70F8C" w:rsidRDefault="00D70F8C" w:rsidP="00D70F8C">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D70F8C" w:rsidRDefault="00D70F8C" w:rsidP="00D70F8C">
      <w:pPr>
        <w:pStyle w:val="NormalWeb"/>
        <w:spacing w:before="0" w:beforeAutospacing="0" w:after="0"/>
        <w:ind w:left="426"/>
        <w:jc w:val="both"/>
      </w:pPr>
      <w:r>
        <w:t xml:space="preserve">b) Se compruebe conductas graves que atenten contra el medio ambiente. </w:t>
      </w:r>
    </w:p>
    <w:p w:rsidR="00D70F8C" w:rsidRDefault="00D70F8C" w:rsidP="00D70F8C">
      <w:pPr>
        <w:pStyle w:val="NormalWeb"/>
        <w:spacing w:before="0" w:beforeAutospacing="0" w:after="0"/>
        <w:ind w:left="426"/>
        <w:jc w:val="both"/>
      </w:pPr>
      <w:r>
        <w:t xml:space="preserve">c) Se compruebe fehacientemente la presentación por el proveedor de información falsa o adulterada. </w:t>
      </w:r>
    </w:p>
    <w:p w:rsidR="00D70F8C" w:rsidRDefault="00D70F8C" w:rsidP="00D70F8C">
      <w:pPr>
        <w:pStyle w:val="NormalWeb"/>
        <w:spacing w:before="0" w:beforeAutospacing="0" w:after="0"/>
        <w:ind w:left="426"/>
        <w:jc w:val="both"/>
      </w:pPr>
      <w:r>
        <w:t xml:space="preserve">d) Declaración de la quiebra hasta la rehabilitación. </w:t>
      </w:r>
    </w:p>
    <w:p w:rsidR="00D70F8C" w:rsidRDefault="00D70F8C" w:rsidP="00D70F8C">
      <w:pPr>
        <w:pStyle w:val="NormalWeb"/>
        <w:spacing w:before="0" w:beforeAutospacing="0" w:after="0"/>
        <w:ind w:left="426"/>
        <w:jc w:val="both"/>
      </w:pPr>
      <w:r>
        <w:t xml:space="preserve">e) En caso de incurrir en tres (3) suspensiones por un período de dos (2) años, el plazo de suspensión será de 2 años. </w:t>
      </w:r>
    </w:p>
    <w:p w:rsidR="00D70F8C" w:rsidRDefault="00D70F8C" w:rsidP="00D70F8C">
      <w:pPr>
        <w:pStyle w:val="NormalWeb"/>
        <w:spacing w:before="0" w:beforeAutospacing="0" w:after="0"/>
        <w:ind w:left="426"/>
        <w:jc w:val="both"/>
      </w:pPr>
      <w:r>
        <w:lastRenderedPageBreak/>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D70F8C" w:rsidRDefault="00D70F8C" w:rsidP="00D70F8C">
      <w:pPr>
        <w:pStyle w:val="NormalWeb"/>
        <w:spacing w:before="0" w:beforeAutospacing="0" w:after="0"/>
        <w:jc w:val="both"/>
        <w:rPr>
          <w:bCs/>
          <w:lang w:val="es-ES_tradnl"/>
        </w:rPr>
      </w:pPr>
    </w:p>
    <w:p w:rsidR="00D70F8C" w:rsidRDefault="00D70F8C" w:rsidP="00D70F8C">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D70F8C" w:rsidRDefault="00D70F8C" w:rsidP="00D70F8C">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D70F8C" w:rsidRPr="00351ECB" w:rsidRDefault="00D70F8C" w:rsidP="00D70F8C">
      <w:pPr>
        <w:pStyle w:val="NormalWeb"/>
        <w:spacing w:before="0" w:beforeAutospacing="0" w:after="0"/>
        <w:jc w:val="both"/>
      </w:pPr>
      <w:r>
        <w:t>Según Modificatoria de Clausulas Generales Decreto 664-MSP-2019.</w:t>
      </w:r>
    </w:p>
    <w:p w:rsidR="00D70F8C" w:rsidRPr="003B5518" w:rsidRDefault="00D70F8C" w:rsidP="00D70F8C">
      <w:pPr>
        <w:pStyle w:val="NormalWeb"/>
        <w:spacing w:before="0" w:beforeAutospacing="0" w:after="0"/>
        <w:jc w:val="both"/>
        <w:rPr>
          <w:rFonts w:ascii="Verdana" w:hAnsi="Verdana" w:cs="Arial"/>
          <w:sz w:val="20"/>
          <w:szCs w:val="20"/>
        </w:rPr>
      </w:pPr>
    </w:p>
    <w:p w:rsidR="00D70F8C" w:rsidRPr="003934C0" w:rsidRDefault="00D70F8C" w:rsidP="00D70F8C">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3934C0">
        <w:rPr>
          <w:rFonts w:ascii="Times New Roman" w:hAnsi="Times New Roman" w:cs="Times New Roman"/>
          <w:b/>
          <w:bCs/>
          <w:sz w:val="24"/>
          <w:szCs w:val="24"/>
          <w:lang w:val="es-ES_tradnl"/>
        </w:rPr>
        <w:t xml:space="preserve">Plazo y forma de entrega: </w:t>
      </w:r>
    </w:p>
    <w:p w:rsidR="00D70F8C" w:rsidRPr="003934C0" w:rsidRDefault="00D70F8C" w:rsidP="00D70F8C">
      <w:pPr>
        <w:pStyle w:val="NormalWeb"/>
        <w:numPr>
          <w:ilvl w:val="0"/>
          <w:numId w:val="16"/>
        </w:numPr>
        <w:spacing w:before="0" w:beforeAutospacing="0" w:after="0"/>
        <w:jc w:val="both"/>
        <w:rPr>
          <w:rFonts w:eastAsiaTheme="minorHAnsi"/>
          <w:b/>
          <w:bCs/>
          <w:u w:val="single"/>
          <w:lang w:val="es-ES_tradnl" w:eastAsia="en-US"/>
        </w:rPr>
      </w:pPr>
      <w:r w:rsidRPr="003934C0">
        <w:rPr>
          <w:rFonts w:eastAsiaTheme="minorHAnsi"/>
          <w:b/>
          <w:bCs/>
          <w:u w:val="single"/>
          <w:lang w:val="es-ES_tradnl" w:eastAsia="en-US"/>
        </w:rPr>
        <w:t>En General</w:t>
      </w:r>
    </w:p>
    <w:p w:rsidR="00D70F8C" w:rsidRPr="003934C0" w:rsidRDefault="00D70F8C" w:rsidP="00D70F8C">
      <w:pPr>
        <w:pStyle w:val="NormalWeb"/>
        <w:spacing w:before="0" w:beforeAutospacing="0" w:after="0"/>
        <w:ind w:left="360"/>
        <w:jc w:val="both"/>
        <w:rPr>
          <w:rFonts w:eastAsiaTheme="minorHAnsi"/>
          <w:bCs/>
          <w:lang w:val="es-ES_tradnl" w:eastAsia="en-US"/>
        </w:rPr>
      </w:pPr>
    </w:p>
    <w:p w:rsidR="00D70F8C" w:rsidRPr="003934C0" w:rsidRDefault="00D70F8C" w:rsidP="00D70F8C">
      <w:pPr>
        <w:pStyle w:val="NormalWeb"/>
        <w:spacing w:before="0" w:beforeAutospacing="0" w:after="0"/>
        <w:jc w:val="both"/>
        <w:rPr>
          <w:rFonts w:eastAsiaTheme="minorHAnsi"/>
          <w:bCs/>
          <w:lang w:val="es-ES_tradnl" w:eastAsia="en-US"/>
        </w:rPr>
      </w:pPr>
      <w:r w:rsidRPr="003934C0">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D70F8C" w:rsidRPr="003934C0" w:rsidRDefault="00D70F8C" w:rsidP="00D70F8C">
      <w:pPr>
        <w:pStyle w:val="NormalWeb"/>
        <w:spacing w:before="0" w:beforeAutospacing="0" w:after="0"/>
        <w:jc w:val="both"/>
        <w:rPr>
          <w:rFonts w:eastAsiaTheme="minorHAnsi"/>
          <w:bCs/>
          <w:lang w:val="es-ES_tradnl" w:eastAsia="en-US"/>
        </w:rPr>
      </w:pPr>
      <w:r w:rsidRPr="003934C0">
        <w:rPr>
          <w:rFonts w:eastAsiaTheme="minorHAnsi"/>
          <w:b/>
          <w:bCs/>
          <w:lang w:val="es-ES_tradnl" w:eastAsia="en-US"/>
        </w:rPr>
        <w:t>Plazo de entrega: 15 (quince) días hábiles</w:t>
      </w:r>
      <w:r w:rsidRPr="003934C0">
        <w:rPr>
          <w:rFonts w:eastAsiaTheme="minorHAnsi"/>
          <w:bCs/>
          <w:lang w:val="es-ES_tradnl" w:eastAsia="en-US"/>
        </w:rPr>
        <w:t xml:space="preserve"> a partir de la fecha de notificación de la Orden de Entrega definitiva o contrato, </w:t>
      </w:r>
      <w:r w:rsidRPr="003934C0">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3934C0">
        <w:rPr>
          <w:rFonts w:eastAsiaTheme="minorHAnsi"/>
          <w:bCs/>
          <w:lang w:val="es-ES_tradnl" w:eastAsia="en-US"/>
        </w:rPr>
        <w:t>, lo cual será evaluado por la Comisión de Adjudicación.-</w:t>
      </w:r>
    </w:p>
    <w:p w:rsidR="00D70F8C" w:rsidRPr="003934C0" w:rsidRDefault="00D70F8C" w:rsidP="00D70F8C">
      <w:pPr>
        <w:pStyle w:val="NormalWeb"/>
        <w:spacing w:before="0" w:beforeAutospacing="0" w:after="0"/>
        <w:jc w:val="both"/>
        <w:rPr>
          <w:rFonts w:eastAsiaTheme="minorHAnsi"/>
          <w:b/>
          <w:bCs/>
          <w:u w:val="single"/>
          <w:lang w:val="es-ES_tradnl" w:eastAsia="en-US"/>
        </w:rPr>
      </w:pPr>
      <w:r w:rsidRPr="003934C0">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3934C0">
        <w:rPr>
          <w:rFonts w:eastAsiaTheme="minorHAnsi"/>
          <w:b/>
          <w:bCs/>
          <w:u w:val="single"/>
          <w:lang w:val="es-ES_tradnl" w:eastAsia="en-US"/>
        </w:rPr>
        <w:t>ó</w:t>
      </w:r>
      <w:proofErr w:type="spellEnd"/>
      <w:r w:rsidRPr="003934C0">
        <w:rPr>
          <w:rFonts w:eastAsiaTheme="minorHAnsi"/>
          <w:b/>
          <w:bCs/>
          <w:u w:val="single"/>
          <w:lang w:val="es-ES_tradnl" w:eastAsia="en-US"/>
        </w:rPr>
        <w:t xml:space="preserve"> los renglones entregados con mora, todo esto en la instancia al pago de la facturación presentada.-</w:t>
      </w:r>
    </w:p>
    <w:p w:rsidR="00D70F8C" w:rsidRPr="003934C0" w:rsidRDefault="00D70F8C" w:rsidP="00D70F8C">
      <w:pPr>
        <w:pStyle w:val="NormalWeb"/>
        <w:spacing w:before="0" w:beforeAutospacing="0" w:after="0"/>
        <w:jc w:val="both"/>
        <w:rPr>
          <w:rFonts w:eastAsiaTheme="minorHAnsi"/>
          <w:bCs/>
          <w:lang w:val="es-ES_tradnl" w:eastAsia="en-US"/>
        </w:rPr>
      </w:pPr>
      <w:r w:rsidRPr="003934C0">
        <w:rPr>
          <w:rFonts w:eastAsiaTheme="minorHAnsi"/>
          <w:bCs/>
          <w:lang w:val="es-ES_tradnl" w:eastAsia="en-US"/>
        </w:rPr>
        <w:t>Se deberá hacer entrega de las unidades que conforman el total del renglón o lote completo adjudicado.</w:t>
      </w:r>
    </w:p>
    <w:p w:rsidR="00D70F8C" w:rsidRDefault="00D70F8C" w:rsidP="00D70F8C">
      <w:pPr>
        <w:spacing w:after="0" w:line="240" w:lineRule="auto"/>
        <w:contextualSpacing/>
        <w:rPr>
          <w:rFonts w:ascii="Times New Roman" w:hAnsi="Times New Roman" w:cs="Times New Roman"/>
          <w:bCs/>
          <w:color w:val="FF0000"/>
          <w:sz w:val="24"/>
          <w:szCs w:val="24"/>
          <w:lang w:val="es-ES_tradnl"/>
        </w:rPr>
      </w:pPr>
    </w:p>
    <w:p w:rsidR="00D70F8C" w:rsidRPr="0085205E" w:rsidRDefault="00D70F8C" w:rsidP="00D70F8C">
      <w:pPr>
        <w:spacing w:after="0" w:line="240" w:lineRule="auto"/>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 SOLICITA INCLUIR EN LA OFERTA ECONOMICA, NUMERO DE CONTACTO Y CORREO ELECTRONICO ACTUALIZADO.”</w:t>
      </w:r>
    </w:p>
    <w:p w:rsidR="00D70F8C" w:rsidRPr="0085205E" w:rsidRDefault="00D70F8C" w:rsidP="00D70F8C">
      <w:pPr>
        <w:spacing w:after="0" w:line="240" w:lineRule="auto"/>
        <w:contextualSpacing/>
        <w:jc w:val="both"/>
        <w:rPr>
          <w:rFonts w:ascii="Times New Roman" w:hAnsi="Times New Roman" w:cs="Times New Roman"/>
          <w:sz w:val="24"/>
          <w:szCs w:val="24"/>
          <w:lang w:val="es-ES_tradnl"/>
        </w:rPr>
      </w:pPr>
    </w:p>
    <w:p w:rsidR="00CB1117" w:rsidRPr="00764CFB" w:rsidRDefault="00CB1117" w:rsidP="00764CFB">
      <w:pPr>
        <w:spacing w:line="240" w:lineRule="auto"/>
        <w:contextualSpacing/>
        <w:jc w:val="both"/>
        <w:rPr>
          <w:rFonts w:ascii="Times New Roman" w:hAnsi="Times New Roman" w:cs="Times New Roman"/>
          <w:sz w:val="24"/>
          <w:szCs w:val="24"/>
          <w:lang w:val="es-ES_tradnl"/>
        </w:rPr>
      </w:pP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footerReference w:type="default" r:id="rId9"/>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E5" w:rsidRDefault="00244AE5" w:rsidP="00044DD7">
      <w:pPr>
        <w:spacing w:after="0" w:line="240" w:lineRule="auto"/>
      </w:pPr>
      <w:r>
        <w:separator/>
      </w:r>
    </w:p>
  </w:endnote>
  <w:endnote w:type="continuationSeparator" w:id="0">
    <w:p w:rsidR="00244AE5" w:rsidRDefault="00244AE5"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742"/>
      <w:docPartObj>
        <w:docPartGallery w:val="Page Numbers (Bottom of Page)"/>
        <w:docPartUnique/>
      </w:docPartObj>
    </w:sdtPr>
    <w:sdtEndPr/>
    <w:sdtContent>
      <w:p w:rsidR="00CB1117" w:rsidRDefault="00CB1117">
        <w:pPr>
          <w:pStyle w:val="Piedepgina"/>
          <w:jc w:val="right"/>
        </w:pPr>
        <w:r>
          <w:fldChar w:fldCharType="begin"/>
        </w:r>
        <w:r>
          <w:instrText>PAGE   \* MERGEFORMAT</w:instrText>
        </w:r>
        <w:r>
          <w:fldChar w:fldCharType="separate"/>
        </w:r>
        <w:r w:rsidR="00D70F8C">
          <w:rPr>
            <w:noProof/>
          </w:rPr>
          <w:t>1</w:t>
        </w:r>
        <w:r>
          <w:fldChar w:fldCharType="end"/>
        </w:r>
      </w:p>
    </w:sdtContent>
  </w:sdt>
  <w:p w:rsidR="00CB1117" w:rsidRDefault="00CB1117" w:rsidP="0054213A">
    <w:pPr>
      <w:pStyle w:val="Piedepgina"/>
      <w:tabs>
        <w:tab w:val="left" w:pos="77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E5" w:rsidRDefault="00244AE5" w:rsidP="00044DD7">
      <w:pPr>
        <w:spacing w:after="0" w:line="240" w:lineRule="auto"/>
      </w:pPr>
      <w:r>
        <w:separator/>
      </w:r>
    </w:p>
  </w:footnote>
  <w:footnote w:type="continuationSeparator" w:id="0">
    <w:p w:rsidR="00244AE5" w:rsidRDefault="00244AE5"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2D8A4EB9"/>
    <w:multiLevelType w:val="hybridMultilevel"/>
    <w:tmpl w:val="CC28D916"/>
    <w:lvl w:ilvl="0" w:tplc="9CD299E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3D64721"/>
    <w:multiLevelType w:val="hybridMultilevel"/>
    <w:tmpl w:val="CEA4DFD4"/>
    <w:lvl w:ilvl="0" w:tplc="7F94C56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3">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D3A4FDE"/>
    <w:multiLevelType w:val="hybridMultilevel"/>
    <w:tmpl w:val="7088A1F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5">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6">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8">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7"/>
  </w:num>
  <w:num w:numId="13">
    <w:abstractNumId w:val="16"/>
  </w:num>
  <w:num w:numId="14">
    <w:abstractNumId w:val="18"/>
  </w:num>
  <w:num w:numId="15">
    <w:abstractNumId w:val="12"/>
  </w:num>
  <w:num w:numId="16">
    <w:abstractNumId w:val="10"/>
  </w:num>
  <w:num w:numId="17">
    <w:abstractNumId w:val="0"/>
  </w:num>
  <w:num w:numId="18">
    <w:abstractNumId w:val="17"/>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11"/>
  </w:num>
  <w:num w:numId="25">
    <w:abstractNumId w:val="15"/>
  </w:num>
  <w:num w:numId="26">
    <w:abstractNumId w:val="6"/>
  </w:num>
  <w:num w:numId="27">
    <w:abstractNumId w:val="4"/>
  </w:num>
  <w:num w:numId="28">
    <w:abstractNumId w:val="5"/>
  </w:num>
  <w:num w:numId="29">
    <w:abstractNumId w:val="3"/>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12A"/>
    <w:rsid w:val="0001081A"/>
    <w:rsid w:val="000134E6"/>
    <w:rsid w:val="00014F42"/>
    <w:rsid w:val="00020D0E"/>
    <w:rsid w:val="000210D0"/>
    <w:rsid w:val="000213D2"/>
    <w:rsid w:val="00032167"/>
    <w:rsid w:val="00036509"/>
    <w:rsid w:val="00040864"/>
    <w:rsid w:val="00040B35"/>
    <w:rsid w:val="00044DD7"/>
    <w:rsid w:val="00046174"/>
    <w:rsid w:val="00054370"/>
    <w:rsid w:val="0005463C"/>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3F5D"/>
    <w:rsid w:val="000F556B"/>
    <w:rsid w:val="000F762F"/>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4AE5"/>
    <w:rsid w:val="0024509D"/>
    <w:rsid w:val="002452CA"/>
    <w:rsid w:val="00245EAA"/>
    <w:rsid w:val="0025432B"/>
    <w:rsid w:val="00264DD6"/>
    <w:rsid w:val="00275D6E"/>
    <w:rsid w:val="002801F3"/>
    <w:rsid w:val="00282167"/>
    <w:rsid w:val="002844DB"/>
    <w:rsid w:val="00291C48"/>
    <w:rsid w:val="002958CC"/>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0138"/>
    <w:rsid w:val="003A7902"/>
    <w:rsid w:val="003B28FA"/>
    <w:rsid w:val="003B2B95"/>
    <w:rsid w:val="003D2A12"/>
    <w:rsid w:val="003E0194"/>
    <w:rsid w:val="003F32F1"/>
    <w:rsid w:val="00400F10"/>
    <w:rsid w:val="004041AE"/>
    <w:rsid w:val="0041600F"/>
    <w:rsid w:val="004263D1"/>
    <w:rsid w:val="00432437"/>
    <w:rsid w:val="00432703"/>
    <w:rsid w:val="00433BD4"/>
    <w:rsid w:val="00435B2A"/>
    <w:rsid w:val="00436214"/>
    <w:rsid w:val="00437A5F"/>
    <w:rsid w:val="00442000"/>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19D9"/>
    <w:rsid w:val="00513005"/>
    <w:rsid w:val="00515528"/>
    <w:rsid w:val="005156A8"/>
    <w:rsid w:val="0052560D"/>
    <w:rsid w:val="0053058E"/>
    <w:rsid w:val="005447DF"/>
    <w:rsid w:val="00546C15"/>
    <w:rsid w:val="00547482"/>
    <w:rsid w:val="00551410"/>
    <w:rsid w:val="00551578"/>
    <w:rsid w:val="00551E48"/>
    <w:rsid w:val="00552D6A"/>
    <w:rsid w:val="00586328"/>
    <w:rsid w:val="005903B0"/>
    <w:rsid w:val="00595402"/>
    <w:rsid w:val="005A7B71"/>
    <w:rsid w:val="005B4E47"/>
    <w:rsid w:val="005C0053"/>
    <w:rsid w:val="005C31BC"/>
    <w:rsid w:val="005D4B10"/>
    <w:rsid w:val="005D4E33"/>
    <w:rsid w:val="005E0109"/>
    <w:rsid w:val="00600191"/>
    <w:rsid w:val="006006A7"/>
    <w:rsid w:val="0061362D"/>
    <w:rsid w:val="00613773"/>
    <w:rsid w:val="00615C91"/>
    <w:rsid w:val="006206AB"/>
    <w:rsid w:val="00624875"/>
    <w:rsid w:val="00625F18"/>
    <w:rsid w:val="00647F94"/>
    <w:rsid w:val="00651DCE"/>
    <w:rsid w:val="00655579"/>
    <w:rsid w:val="006649C9"/>
    <w:rsid w:val="00664B23"/>
    <w:rsid w:val="00676A5A"/>
    <w:rsid w:val="006778AF"/>
    <w:rsid w:val="006779A9"/>
    <w:rsid w:val="00680ADD"/>
    <w:rsid w:val="00690249"/>
    <w:rsid w:val="006A2234"/>
    <w:rsid w:val="006A332C"/>
    <w:rsid w:val="006A4CC6"/>
    <w:rsid w:val="006A5620"/>
    <w:rsid w:val="006B0B37"/>
    <w:rsid w:val="006B6015"/>
    <w:rsid w:val="006B6C6E"/>
    <w:rsid w:val="006C01B3"/>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07D8"/>
    <w:rsid w:val="007227D1"/>
    <w:rsid w:val="0072590C"/>
    <w:rsid w:val="007374C7"/>
    <w:rsid w:val="00742BF6"/>
    <w:rsid w:val="00754709"/>
    <w:rsid w:val="00764CFB"/>
    <w:rsid w:val="00764D69"/>
    <w:rsid w:val="00770688"/>
    <w:rsid w:val="00771E45"/>
    <w:rsid w:val="00774957"/>
    <w:rsid w:val="00783B0C"/>
    <w:rsid w:val="00785454"/>
    <w:rsid w:val="007A1557"/>
    <w:rsid w:val="007A1850"/>
    <w:rsid w:val="007A5288"/>
    <w:rsid w:val="007B1960"/>
    <w:rsid w:val="007C63A3"/>
    <w:rsid w:val="007C6C84"/>
    <w:rsid w:val="007E33C4"/>
    <w:rsid w:val="007E4F9E"/>
    <w:rsid w:val="007E696B"/>
    <w:rsid w:val="007E7E0D"/>
    <w:rsid w:val="007F5FBB"/>
    <w:rsid w:val="007F739A"/>
    <w:rsid w:val="00801936"/>
    <w:rsid w:val="00804043"/>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D4579"/>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3696E"/>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24AC"/>
    <w:rsid w:val="00B7442B"/>
    <w:rsid w:val="00B7710E"/>
    <w:rsid w:val="00B8044E"/>
    <w:rsid w:val="00B81A23"/>
    <w:rsid w:val="00B84AE5"/>
    <w:rsid w:val="00B8641D"/>
    <w:rsid w:val="00BA1B6C"/>
    <w:rsid w:val="00BC2F2A"/>
    <w:rsid w:val="00BC45E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117"/>
    <w:rsid w:val="00CB1662"/>
    <w:rsid w:val="00CB6545"/>
    <w:rsid w:val="00CB6F90"/>
    <w:rsid w:val="00CC02EC"/>
    <w:rsid w:val="00CC1A84"/>
    <w:rsid w:val="00CC3CE6"/>
    <w:rsid w:val="00CC5222"/>
    <w:rsid w:val="00CE294F"/>
    <w:rsid w:val="00CE53D0"/>
    <w:rsid w:val="00CE6367"/>
    <w:rsid w:val="00CF34C6"/>
    <w:rsid w:val="00D047B4"/>
    <w:rsid w:val="00D05DDE"/>
    <w:rsid w:val="00D06721"/>
    <w:rsid w:val="00D1258D"/>
    <w:rsid w:val="00D2068C"/>
    <w:rsid w:val="00D35E75"/>
    <w:rsid w:val="00D46D78"/>
    <w:rsid w:val="00D51A78"/>
    <w:rsid w:val="00D54FD8"/>
    <w:rsid w:val="00D64B4F"/>
    <w:rsid w:val="00D70F8C"/>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464C9"/>
    <w:rsid w:val="00E70499"/>
    <w:rsid w:val="00E85788"/>
    <w:rsid w:val="00E97EB8"/>
    <w:rsid w:val="00EA44ED"/>
    <w:rsid w:val="00EA5666"/>
    <w:rsid w:val="00EB0C17"/>
    <w:rsid w:val="00EB295A"/>
    <w:rsid w:val="00EB3A74"/>
    <w:rsid w:val="00EB487B"/>
    <w:rsid w:val="00EC2D32"/>
    <w:rsid w:val="00EC56C0"/>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D15A-C98B-4FD0-A3C2-B39C1504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4307</Words>
  <Characters>23689</Characters>
  <Application>Microsoft Office Word</Application>
  <DocSecurity>0</DocSecurity>
  <Lines>197</Lines>
  <Paragraphs>55</Paragraphs>
  <ScaleCrop>false</ScaleCrop>
  <Company>Microsoft</Company>
  <LinksUpToDate>false</LinksUpToDate>
  <CharactersWithSpaces>27941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251</cp:revision>
  <dcterms:created xsi:type="dcterms:W3CDTF">2019-01-14T11:30:00Z</dcterms:created>
  <dcterms:modified xsi:type="dcterms:W3CDTF">2020-09-23T14:41:00Z</dcterms:modified>
</cp:coreProperties>
</file>