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6C01B3" w:rsidP="00CA196D">
      <w:pPr>
        <w:jc w:val="both"/>
        <w:rPr>
          <w:sz w:val="28"/>
          <w:szCs w:val="28"/>
          <w:lang w:val="es-MX"/>
        </w:rPr>
      </w:pPr>
      <w:r>
        <w:rPr>
          <w:sz w:val="28"/>
          <w:szCs w:val="28"/>
          <w:lang w:val="es-MX"/>
        </w:rPr>
        <w:pict>
          <v:rect id="_x0000_i1025" style="width:0;height:1.5pt" o:hralign="center" o:hrstd="t" o:hr="t" fillcolor="#a0a0a0" stroked="f"/>
        </w:pict>
      </w:r>
    </w:p>
    <w:p w:rsidR="003A0138" w:rsidRPr="0064150D" w:rsidRDefault="003A0138" w:rsidP="003A0138">
      <w:pPr>
        <w:jc w:val="center"/>
        <w:rPr>
          <w:rFonts w:ascii="Arial" w:hAnsi="Arial" w:cs="Arial"/>
          <w:sz w:val="28"/>
          <w:szCs w:val="28"/>
          <w:u w:val="single"/>
        </w:rPr>
      </w:pPr>
      <w:r w:rsidRPr="0064150D">
        <w:rPr>
          <w:rFonts w:ascii="Arial" w:hAnsi="Arial" w:cs="Arial"/>
          <w:sz w:val="28"/>
          <w:szCs w:val="28"/>
          <w:u w:val="single"/>
        </w:rPr>
        <w:t xml:space="preserve">COMPRA DIRECTA  N° 62/20   </w:t>
      </w:r>
    </w:p>
    <w:p w:rsidR="003A0138" w:rsidRPr="0064150D" w:rsidRDefault="003A0138" w:rsidP="003A0138">
      <w:pPr>
        <w:jc w:val="center"/>
        <w:rPr>
          <w:rFonts w:ascii="Arial" w:hAnsi="Arial" w:cs="Arial"/>
          <w:sz w:val="28"/>
          <w:szCs w:val="28"/>
          <w:u w:val="single"/>
        </w:rPr>
      </w:pPr>
      <w:r w:rsidRPr="0064150D">
        <w:rPr>
          <w:rFonts w:ascii="Arial" w:hAnsi="Arial" w:cs="Arial"/>
          <w:sz w:val="28"/>
          <w:szCs w:val="28"/>
          <w:u w:val="single"/>
        </w:rPr>
        <w:t>LEY 783 –P.</w:t>
      </w:r>
    </w:p>
    <w:p w:rsidR="003A0138" w:rsidRPr="003A0138" w:rsidRDefault="003A0138" w:rsidP="003A0138">
      <w:pPr>
        <w:tabs>
          <w:tab w:val="left" w:pos="5610"/>
        </w:tabs>
        <w:jc w:val="center"/>
        <w:rPr>
          <w:rFonts w:ascii="Arial" w:hAnsi="Arial" w:cs="Arial"/>
          <w:sz w:val="28"/>
          <w:szCs w:val="28"/>
        </w:rPr>
      </w:pPr>
      <w:r w:rsidRPr="0064150D">
        <w:rPr>
          <w:rFonts w:ascii="Arial" w:hAnsi="Arial" w:cs="Arial"/>
          <w:sz w:val="28"/>
          <w:szCs w:val="28"/>
        </w:rPr>
        <w:t xml:space="preserve">Expediente Nº 800-004231-2020/ </w:t>
      </w:r>
      <w:r w:rsidRPr="0064150D">
        <w:rPr>
          <w:rFonts w:ascii="Arial" w:hAnsi="Arial" w:cs="Arial"/>
          <w:b/>
          <w:i/>
          <w:sz w:val="28"/>
          <w:szCs w:val="28"/>
        </w:rPr>
        <w:t>Rs.3496-MSP</w:t>
      </w:r>
      <w:r w:rsidRPr="0064150D">
        <w:rPr>
          <w:rFonts w:ascii="Arial" w:hAnsi="Arial" w:cs="Arial"/>
          <w:sz w:val="28"/>
          <w:szCs w:val="28"/>
        </w:rPr>
        <w:t>-</w:t>
      </w:r>
      <w:r w:rsidRPr="0064150D">
        <w:rPr>
          <w:rFonts w:ascii="Arial" w:hAnsi="Arial" w:cs="Arial"/>
          <w:b/>
          <w:sz w:val="28"/>
          <w:szCs w:val="28"/>
        </w:rPr>
        <w:t xml:space="preserve">2020 </w:t>
      </w:r>
      <w:r w:rsidRPr="0064150D">
        <w:rPr>
          <w:rFonts w:ascii="Arial" w:hAnsi="Arial" w:cs="Arial"/>
          <w:sz w:val="28"/>
          <w:szCs w:val="28"/>
        </w:rPr>
        <w:t xml:space="preserve">           </w:t>
      </w:r>
      <w:bookmarkStart w:id="0" w:name="_GoBack"/>
      <w:bookmarkEnd w:id="0"/>
    </w:p>
    <w:p w:rsidR="003A0138" w:rsidRPr="0064150D" w:rsidRDefault="003A0138" w:rsidP="003A0138">
      <w:pPr>
        <w:contextualSpacing/>
        <w:jc w:val="both"/>
        <w:rPr>
          <w:rFonts w:cs="Times New Roman"/>
          <w:szCs w:val="24"/>
          <w:lang w:val="es-ES"/>
        </w:rPr>
      </w:pPr>
      <w:r w:rsidRPr="0064150D">
        <w:rPr>
          <w:rFonts w:ascii="Verdana" w:hAnsi="Verdana" w:cs="Arial"/>
          <w:sz w:val="20"/>
          <w:szCs w:val="20"/>
        </w:rPr>
        <w:t xml:space="preserve">                              A realizarse la apertura el día </w:t>
      </w:r>
      <w:r w:rsidRPr="0064150D">
        <w:rPr>
          <w:rFonts w:ascii="Verdana" w:hAnsi="Verdana" w:cs="Arial"/>
          <w:b/>
          <w:sz w:val="20"/>
          <w:szCs w:val="20"/>
        </w:rPr>
        <w:t>Miércoles 30 (treinta) de Septiembre del 2.020</w:t>
      </w:r>
      <w:r w:rsidRPr="0064150D">
        <w:rPr>
          <w:rFonts w:ascii="Verdana" w:hAnsi="Verdana" w:cs="Arial"/>
          <w:sz w:val="20"/>
          <w:szCs w:val="20"/>
        </w:rPr>
        <w:t xml:space="preserve"> </w:t>
      </w:r>
      <w:r w:rsidRPr="0064150D">
        <w:rPr>
          <w:rFonts w:ascii="Verdana" w:hAnsi="Verdana" w:cs="Arial"/>
          <w:b/>
          <w:sz w:val="20"/>
          <w:szCs w:val="20"/>
        </w:rPr>
        <w:t>y  la recepción de sobres hasta las 09:00 horas en la oficina de Departamento Compras</w:t>
      </w:r>
      <w:r w:rsidRPr="0064150D">
        <w:rPr>
          <w:rFonts w:ascii="Verdana" w:hAnsi="Verdana" w:cs="Arial"/>
          <w:sz w:val="20"/>
          <w:szCs w:val="20"/>
        </w:rPr>
        <w:t xml:space="preserve">, para la adquisición de </w:t>
      </w:r>
      <w:r w:rsidRPr="0064150D">
        <w:rPr>
          <w:rFonts w:ascii="Verdana" w:hAnsi="Verdana" w:cs="Arial"/>
          <w:sz w:val="20"/>
          <w:szCs w:val="20"/>
          <w:lang w:val="es-ES"/>
        </w:rPr>
        <w:t xml:space="preserve">una campana de seguridad Biológica para comenzar a implementar la descentralización planificada del diagnóstico del SARS-Cov-2 por técnica de </w:t>
      </w:r>
      <w:proofErr w:type="spellStart"/>
      <w:r w:rsidRPr="0064150D">
        <w:rPr>
          <w:rFonts w:ascii="Verdana" w:hAnsi="Verdana" w:cs="Arial"/>
          <w:sz w:val="20"/>
          <w:szCs w:val="20"/>
          <w:lang w:val="es-ES"/>
        </w:rPr>
        <w:t>trPCR</w:t>
      </w:r>
      <w:proofErr w:type="spellEnd"/>
      <w:r w:rsidRPr="0064150D">
        <w:rPr>
          <w:rFonts w:ascii="Verdana" w:hAnsi="Verdana" w:cs="Arial"/>
          <w:sz w:val="20"/>
          <w:szCs w:val="20"/>
          <w:lang w:val="es-ES"/>
        </w:rPr>
        <w:t xml:space="preserve"> para la patología de COVID-19, destinado a División Bioquímica, dependiente del Ministerio de Salud Pública.</w:t>
      </w:r>
    </w:p>
    <w:p w:rsidR="003A0138" w:rsidRDefault="003A0138" w:rsidP="003A0138">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3A0138" w:rsidRDefault="003A0138" w:rsidP="003A0138">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3A0138" w:rsidRDefault="003A0138" w:rsidP="003A0138">
      <w:pPr>
        <w:pStyle w:val="Sangranormal"/>
        <w:tabs>
          <w:tab w:val="left" w:pos="1200"/>
          <w:tab w:val="left" w:pos="1680"/>
        </w:tabs>
        <w:ind w:left="0" w:firstLine="2127"/>
        <w:jc w:val="both"/>
        <w:rPr>
          <w:rFonts w:ascii="Verdana" w:hAnsi="Verdana" w:cs="Arial"/>
          <w:b/>
          <w:sz w:val="20"/>
          <w:szCs w:val="20"/>
          <w:u w:val="single"/>
        </w:rPr>
      </w:pPr>
    </w:p>
    <w:tbl>
      <w:tblPr>
        <w:tblW w:w="9781" w:type="dxa"/>
        <w:tblInd w:w="212" w:type="dxa"/>
        <w:tblCellMar>
          <w:left w:w="70" w:type="dxa"/>
          <w:right w:w="70" w:type="dxa"/>
        </w:tblCellMar>
        <w:tblLook w:val="04A0" w:firstRow="1" w:lastRow="0" w:firstColumn="1" w:lastColumn="0" w:noHBand="0" w:noVBand="1"/>
      </w:tblPr>
      <w:tblGrid>
        <w:gridCol w:w="992"/>
        <w:gridCol w:w="7655"/>
        <w:gridCol w:w="1134"/>
      </w:tblGrid>
      <w:tr w:rsidR="003A0138" w:rsidRPr="003D5D1A" w:rsidTr="006B35FF">
        <w:trPr>
          <w:trHeight w:val="264"/>
        </w:trPr>
        <w:tc>
          <w:tcPr>
            <w:tcW w:w="992" w:type="dxa"/>
            <w:tcBorders>
              <w:top w:val="nil"/>
              <w:left w:val="nil"/>
              <w:bottom w:val="single" w:sz="4" w:space="0" w:color="auto"/>
              <w:right w:val="nil"/>
            </w:tcBorders>
            <w:shd w:val="clear" w:color="auto" w:fill="auto"/>
            <w:vAlign w:val="center"/>
            <w:hideMark/>
          </w:tcPr>
          <w:p w:rsidR="003A0138" w:rsidRPr="003D5D1A" w:rsidRDefault="003A0138" w:rsidP="006B35FF">
            <w:pPr>
              <w:contextualSpacing/>
              <w:rPr>
                <w:rFonts w:cs="Times New Roman"/>
                <w:szCs w:val="24"/>
              </w:rPr>
            </w:pPr>
            <w:proofErr w:type="spellStart"/>
            <w:r w:rsidRPr="003D5D1A">
              <w:rPr>
                <w:rFonts w:cs="Times New Roman"/>
                <w:szCs w:val="24"/>
              </w:rPr>
              <w:t>Reng</w:t>
            </w:r>
            <w:proofErr w:type="spellEnd"/>
            <w:r w:rsidRPr="003D5D1A">
              <w:rPr>
                <w:rFonts w:cs="Times New Roman"/>
                <w:szCs w:val="24"/>
              </w:rPr>
              <w:t>.</w:t>
            </w:r>
          </w:p>
        </w:tc>
        <w:tc>
          <w:tcPr>
            <w:tcW w:w="7655" w:type="dxa"/>
            <w:tcBorders>
              <w:top w:val="nil"/>
              <w:left w:val="nil"/>
              <w:bottom w:val="single" w:sz="4" w:space="0" w:color="auto"/>
              <w:right w:val="nil"/>
            </w:tcBorders>
            <w:shd w:val="clear" w:color="auto" w:fill="auto"/>
            <w:vAlign w:val="center"/>
            <w:hideMark/>
          </w:tcPr>
          <w:p w:rsidR="003A0138" w:rsidRPr="003D5D1A" w:rsidRDefault="003A0138" w:rsidP="006B35FF">
            <w:pPr>
              <w:contextualSpacing/>
              <w:rPr>
                <w:rFonts w:cs="Times New Roman"/>
                <w:szCs w:val="24"/>
              </w:rPr>
            </w:pPr>
            <w:r w:rsidRPr="003D5D1A">
              <w:rPr>
                <w:rFonts w:cs="Times New Roman"/>
                <w:szCs w:val="24"/>
              </w:rPr>
              <w:t xml:space="preserve">Detalle </w:t>
            </w:r>
          </w:p>
        </w:tc>
        <w:tc>
          <w:tcPr>
            <w:tcW w:w="1134" w:type="dxa"/>
            <w:tcBorders>
              <w:top w:val="nil"/>
              <w:left w:val="nil"/>
              <w:bottom w:val="single" w:sz="4" w:space="0" w:color="auto"/>
              <w:right w:val="nil"/>
            </w:tcBorders>
            <w:shd w:val="clear" w:color="auto" w:fill="auto"/>
            <w:vAlign w:val="center"/>
            <w:hideMark/>
          </w:tcPr>
          <w:p w:rsidR="003A0138" w:rsidRPr="003D5D1A" w:rsidRDefault="003A0138" w:rsidP="006B35FF">
            <w:pPr>
              <w:contextualSpacing/>
              <w:rPr>
                <w:rFonts w:cs="Times New Roman"/>
                <w:szCs w:val="24"/>
              </w:rPr>
            </w:pPr>
            <w:r w:rsidRPr="003D5D1A">
              <w:rPr>
                <w:rFonts w:cs="Times New Roman"/>
                <w:szCs w:val="24"/>
              </w:rPr>
              <w:t>Cantidad</w:t>
            </w:r>
          </w:p>
        </w:tc>
      </w:tr>
      <w:tr w:rsidR="003A0138" w:rsidRPr="003D5D1A" w:rsidTr="006B35FF">
        <w:trPr>
          <w:trHeight w:val="57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138" w:rsidRPr="003D5D1A" w:rsidRDefault="003A0138" w:rsidP="006B35FF">
            <w:pPr>
              <w:contextualSpacing/>
              <w:rPr>
                <w:rFonts w:cs="Times New Roman"/>
                <w:b/>
                <w:bCs/>
                <w:szCs w:val="24"/>
                <w:lang w:val="es-ES_tradnl"/>
              </w:rPr>
            </w:pPr>
            <w:r w:rsidRPr="003D5D1A">
              <w:rPr>
                <w:rFonts w:cs="Times New Roman"/>
                <w:b/>
                <w:bCs/>
                <w:szCs w:val="24"/>
                <w:lang w:val="es-ES_tradnl"/>
              </w:rPr>
              <w:t>1</w:t>
            </w:r>
          </w:p>
        </w:tc>
        <w:tc>
          <w:tcPr>
            <w:tcW w:w="7655" w:type="dxa"/>
            <w:tcBorders>
              <w:top w:val="single" w:sz="4" w:space="0" w:color="auto"/>
              <w:left w:val="nil"/>
              <w:bottom w:val="single" w:sz="4" w:space="0" w:color="auto"/>
              <w:right w:val="single" w:sz="4" w:space="0" w:color="auto"/>
            </w:tcBorders>
            <w:shd w:val="clear" w:color="000000" w:fill="FFFFFF"/>
            <w:vAlign w:val="center"/>
            <w:hideMark/>
          </w:tcPr>
          <w:p w:rsidR="003A0138" w:rsidRPr="003D5D1A" w:rsidRDefault="003A0138" w:rsidP="006B35FF">
            <w:pPr>
              <w:contextualSpacing/>
              <w:rPr>
                <w:rFonts w:cs="Times New Roman"/>
                <w:szCs w:val="24"/>
                <w:lang w:val="es-ES_tradnl"/>
              </w:rPr>
            </w:pPr>
            <w:r w:rsidRPr="003D5D1A">
              <w:rPr>
                <w:rFonts w:cs="Times New Roman"/>
                <w:szCs w:val="24"/>
                <w:lang w:val="es-ES_tradnl"/>
              </w:rPr>
              <w:t>Campana de Seguridad Biológica Clase II – Tipo A2. Características:</w:t>
            </w:r>
          </w:p>
          <w:p w:rsidR="003A0138" w:rsidRPr="003D5D1A" w:rsidRDefault="003A0138" w:rsidP="006B35FF">
            <w:pPr>
              <w:contextualSpacing/>
              <w:rPr>
                <w:rFonts w:cs="Times New Roman"/>
                <w:szCs w:val="24"/>
                <w:lang w:val="es-ES_tradnl"/>
              </w:rPr>
            </w:pPr>
            <w:r w:rsidRPr="003D5D1A">
              <w:rPr>
                <w:rFonts w:cs="Times New Roman"/>
                <w:szCs w:val="24"/>
                <w:lang w:val="es-ES_tradnl"/>
              </w:rPr>
              <w:t>Medidas internas aproximadas (ancho, profundidad, altura) 1350 x 600 x 660 mm – Medidas externas aproximadas (ancho, profundidad, altura) 1500 x 750 x 2250 mm – Apertura de la ventana frontal: 200 mm – Apertura máxima: 500 mm (aprox.) Filtros HEPA (con indicador de la vida media del filtro): 2 con 99,999 % de eficiencia para 0.3</w:t>
            </w:r>
            <w:r>
              <w:rPr>
                <w:rFonts w:cs="Times New Roman"/>
                <w:szCs w:val="24"/>
                <w:lang w:val="es-ES_tradnl"/>
              </w:rPr>
              <w:t xml:space="preserve"> </w:t>
            </w:r>
            <w:proofErr w:type="spellStart"/>
            <w:r w:rsidRPr="003D5D1A">
              <w:rPr>
                <w:rFonts w:cs="Times New Roman"/>
                <w:szCs w:val="24"/>
                <w:lang w:val="es-ES_tradnl"/>
              </w:rPr>
              <w:t>μ</w:t>
            </w:r>
            <w:r>
              <w:rPr>
                <w:rFonts w:cs="Times New Roman"/>
                <w:szCs w:val="24"/>
                <w:lang w:val="es-ES_tradnl"/>
              </w:rPr>
              <w:t>m</w:t>
            </w:r>
            <w:proofErr w:type="spellEnd"/>
            <w:r>
              <w:rPr>
                <w:rFonts w:cs="Times New Roman"/>
                <w:szCs w:val="24"/>
                <w:lang w:val="es-ES_tradnl"/>
              </w:rPr>
              <w:t xml:space="preserve"> –V</w:t>
            </w:r>
            <w:r w:rsidRPr="003D5D1A">
              <w:rPr>
                <w:rFonts w:cs="Times New Roman"/>
                <w:szCs w:val="24"/>
                <w:lang w:val="es-ES_tradnl"/>
              </w:rPr>
              <w:t xml:space="preserve">entana frontal: Motorizada con vidrio laminado de dos capas mayor o igual a 5 mm – Lámpara UV: 1 x 40 W (con temporizador, indicador de la vida media) – Enchufes a prueba de agua: 2 con una carga total de 500W – Monitor LCD – Sistema de control microprocesador – Alarma visual y </w:t>
            </w:r>
            <w:proofErr w:type="spellStart"/>
            <w:r w:rsidRPr="003D5D1A">
              <w:rPr>
                <w:rFonts w:cs="Times New Roman"/>
                <w:szCs w:val="24"/>
                <w:lang w:val="es-ES_tradnl"/>
              </w:rPr>
              <w:t>sensora</w:t>
            </w:r>
            <w:proofErr w:type="spellEnd"/>
            <w:r w:rsidRPr="003D5D1A">
              <w:rPr>
                <w:rFonts w:cs="Times New Roman"/>
                <w:szCs w:val="24"/>
                <w:lang w:val="es-ES_tradnl"/>
              </w:rPr>
              <w:t xml:space="preserve">: Material: Acero inoxidable en la zona de trabajo y acero laminado en el cuerpo principal  - Altura de la superficie de trabajo aprox.: 750 mm – Segundo control: Interruptor de pie – Alimentación eléctrica: AC 220V +/- 10%, 50 – 60 Hz; 110 V +/- 10% 60Hz – Accesorios entandares: Lámpara LED, 2 x lámpara UV, control remoto, 2 enchufes resistentes al agua, interruptor de pie, base, </w:t>
            </w:r>
            <w:proofErr w:type="spellStart"/>
            <w:r w:rsidRPr="003D5D1A">
              <w:rPr>
                <w:rFonts w:cs="Times New Roman"/>
                <w:szCs w:val="24"/>
                <w:lang w:val="es-ES_tradnl"/>
              </w:rPr>
              <w:t>valvula</w:t>
            </w:r>
            <w:proofErr w:type="spellEnd"/>
            <w:r w:rsidRPr="003D5D1A">
              <w:rPr>
                <w:rFonts w:cs="Times New Roman"/>
                <w:szCs w:val="24"/>
                <w:lang w:val="es-ES_tradnl"/>
              </w:rPr>
              <w:t xml:space="preserve"> de drenaje -  Accesorios opcionales: Grifo de agua y de gas, base eléctrica de altura regulable.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A0138" w:rsidRPr="003D5D1A" w:rsidRDefault="003A0138" w:rsidP="006B35FF">
            <w:pPr>
              <w:contextualSpacing/>
              <w:rPr>
                <w:rFonts w:cs="Times New Roman"/>
                <w:szCs w:val="24"/>
                <w:lang w:val="es-ES_tradnl"/>
              </w:rPr>
            </w:pPr>
            <w:r>
              <w:rPr>
                <w:rFonts w:cs="Times New Roman"/>
                <w:szCs w:val="24"/>
                <w:lang w:val="es-ES_tradnl"/>
              </w:rPr>
              <w:t>1</w:t>
            </w:r>
          </w:p>
        </w:tc>
      </w:tr>
    </w:tbl>
    <w:p w:rsidR="003A0138" w:rsidRPr="00284C7A" w:rsidRDefault="003A0138" w:rsidP="003A0138">
      <w:pPr>
        <w:pStyle w:val="Sangranormal"/>
        <w:tabs>
          <w:tab w:val="left" w:pos="1200"/>
          <w:tab w:val="left" w:pos="1680"/>
        </w:tabs>
        <w:ind w:left="0"/>
        <w:jc w:val="both"/>
        <w:rPr>
          <w:rFonts w:ascii="Verdana" w:hAnsi="Verdana" w:cs="Arial"/>
          <w:color w:val="FF0000"/>
          <w:sz w:val="28"/>
          <w:szCs w:val="20"/>
        </w:rPr>
      </w:pPr>
    </w:p>
    <w:p w:rsidR="003A0138" w:rsidRPr="00B1752E" w:rsidRDefault="003A0138" w:rsidP="003A0138">
      <w:pPr>
        <w:spacing w:after="0" w:line="240" w:lineRule="auto"/>
        <w:jc w:val="center"/>
        <w:rPr>
          <w:rFonts w:ascii="Times New Roman" w:eastAsia="Times New Roman" w:hAnsi="Times New Roman" w:cs="Times New Roman"/>
          <w:b/>
          <w:sz w:val="24"/>
          <w:szCs w:val="24"/>
          <w:lang w:val="es-ES" w:eastAsia="es-ES"/>
        </w:rPr>
      </w:pPr>
      <w:r w:rsidRPr="00AA2D5B">
        <w:rPr>
          <w:rFonts w:ascii="Times New Roman" w:eastAsia="Times New Roman" w:hAnsi="Times New Roman" w:cs="Times New Roman"/>
          <w:b/>
          <w:sz w:val="24"/>
          <w:szCs w:val="24"/>
          <w:lang w:val="es-ES" w:eastAsia="es-ES"/>
        </w:rPr>
        <w:t xml:space="preserve">ANEXO I </w:t>
      </w:r>
    </w:p>
    <w:p w:rsidR="003A0138" w:rsidRPr="00B1752E" w:rsidRDefault="003A0138" w:rsidP="003A0138">
      <w:pPr>
        <w:spacing w:after="0" w:line="240" w:lineRule="auto"/>
        <w:jc w:val="center"/>
        <w:rPr>
          <w:rFonts w:ascii="Times New Roman" w:eastAsia="Times New Roman" w:hAnsi="Times New Roman" w:cs="Times New Roman"/>
          <w:b/>
          <w:sz w:val="24"/>
          <w:szCs w:val="24"/>
          <w:lang w:val="es-ES" w:eastAsia="es-ES"/>
        </w:rPr>
      </w:pPr>
      <w:r w:rsidRPr="00B1752E">
        <w:rPr>
          <w:rFonts w:ascii="Times New Roman" w:eastAsia="Times New Roman" w:hAnsi="Times New Roman" w:cs="Times New Roman"/>
          <w:b/>
          <w:sz w:val="24"/>
          <w:szCs w:val="24"/>
          <w:lang w:val="es-ES" w:eastAsia="es-ES"/>
        </w:rPr>
        <w:t>Clausulas particulares para la compra de campana de seguridad biológica.</w:t>
      </w:r>
    </w:p>
    <w:p w:rsidR="003A0138" w:rsidRPr="00B1752E" w:rsidRDefault="003A0138" w:rsidP="003A0138">
      <w:pPr>
        <w:spacing w:after="0" w:line="240" w:lineRule="auto"/>
        <w:jc w:val="center"/>
        <w:rPr>
          <w:rFonts w:ascii="Times New Roman" w:eastAsia="Times New Roman" w:hAnsi="Times New Roman" w:cs="Times New Roman"/>
          <w:b/>
          <w:sz w:val="24"/>
          <w:szCs w:val="24"/>
          <w:lang w:val="es-ES" w:eastAsia="es-ES"/>
        </w:rPr>
      </w:pPr>
    </w:p>
    <w:p w:rsidR="003A0138" w:rsidRPr="003A0138" w:rsidRDefault="003A0138" w:rsidP="003A0138">
      <w:r w:rsidRPr="00B1752E">
        <w:rPr>
          <w:rFonts w:ascii="Times New Roman" w:eastAsia="Times New Roman" w:hAnsi="Times New Roman" w:cs="Times New Roman"/>
          <w:sz w:val="24"/>
          <w:szCs w:val="24"/>
          <w:lang w:val="es-ES" w:eastAsia="es-ES"/>
        </w:rPr>
        <w:t>PROCESO: Compra Directa N° 62/20 Ley 783 P.</w:t>
      </w:r>
    </w:p>
    <w:p w:rsidR="003A0138" w:rsidRPr="003A0138" w:rsidRDefault="003A0138" w:rsidP="003A0138">
      <w:r w:rsidRPr="00B1752E">
        <w:rPr>
          <w:rFonts w:ascii="Times New Roman" w:eastAsia="Times New Roman" w:hAnsi="Times New Roman" w:cs="Times New Roman"/>
          <w:sz w:val="24"/>
          <w:szCs w:val="24"/>
          <w:lang w:val="es-ES" w:eastAsia="es-ES"/>
        </w:rPr>
        <w:t>EXPEDIENTE: 800-004231-2020.</w:t>
      </w:r>
    </w:p>
    <w:p w:rsidR="003A0138" w:rsidRPr="003A0138" w:rsidRDefault="003A0138" w:rsidP="003A0138">
      <w:pPr>
        <w:jc w:val="both"/>
      </w:pPr>
      <w:r w:rsidRPr="00005E92">
        <w:rPr>
          <w:rFonts w:ascii="Times New Roman" w:eastAsia="Times New Roman" w:hAnsi="Times New Roman" w:cs="Times New Roman"/>
          <w:sz w:val="24"/>
          <w:szCs w:val="24"/>
          <w:lang w:val="es-ES" w:eastAsia="es-ES"/>
        </w:rPr>
        <w:t>OBJETO:</w:t>
      </w:r>
      <w:r>
        <w:t xml:space="preserve"> C</w:t>
      </w:r>
      <w:proofErr w:type="spellStart"/>
      <w:r w:rsidRPr="00B1752E">
        <w:rPr>
          <w:rFonts w:ascii="Times New Roman" w:eastAsia="Times New Roman" w:hAnsi="Times New Roman" w:cs="Times New Roman"/>
          <w:sz w:val="24"/>
          <w:szCs w:val="24"/>
          <w:lang w:val="es-ES" w:eastAsia="es-ES"/>
        </w:rPr>
        <w:t>ompra</w:t>
      </w:r>
      <w:proofErr w:type="spellEnd"/>
      <w:r w:rsidRPr="00B1752E">
        <w:rPr>
          <w:rFonts w:ascii="Times New Roman" w:eastAsia="Times New Roman" w:hAnsi="Times New Roman" w:cs="Times New Roman"/>
          <w:sz w:val="24"/>
          <w:szCs w:val="24"/>
          <w:lang w:val="es-ES" w:eastAsia="es-ES"/>
        </w:rPr>
        <w:t xml:space="preserve"> de una campana de seguridad Biológica para comenzar a implementar la descentralización planificada del diagnóstico del SARS-Cov-2 por técnica de </w:t>
      </w:r>
      <w:proofErr w:type="spellStart"/>
      <w:r w:rsidRPr="00B1752E">
        <w:rPr>
          <w:rFonts w:ascii="Times New Roman" w:eastAsia="Times New Roman" w:hAnsi="Times New Roman" w:cs="Times New Roman"/>
          <w:sz w:val="24"/>
          <w:szCs w:val="24"/>
          <w:lang w:val="es-ES" w:eastAsia="es-ES"/>
        </w:rPr>
        <w:t>trPCR</w:t>
      </w:r>
      <w:proofErr w:type="spellEnd"/>
      <w:r w:rsidRPr="00B1752E">
        <w:rPr>
          <w:rFonts w:ascii="Times New Roman" w:eastAsia="Times New Roman" w:hAnsi="Times New Roman" w:cs="Times New Roman"/>
          <w:sz w:val="24"/>
          <w:szCs w:val="24"/>
          <w:lang w:val="es-ES" w:eastAsia="es-ES"/>
        </w:rPr>
        <w:t xml:space="preserve"> para la patología de COVID-19, destinado a División Bioquímica, dependiente del Ministerio de Salud Pública.</w:t>
      </w:r>
    </w:p>
    <w:p w:rsidR="003A0138" w:rsidRPr="003A0138" w:rsidRDefault="003A0138" w:rsidP="003A0138">
      <w:pPr>
        <w:jc w:val="both"/>
      </w:pPr>
      <w:r w:rsidRPr="00B1752E">
        <w:rPr>
          <w:rFonts w:ascii="Times New Roman" w:eastAsia="Times New Roman" w:hAnsi="Times New Roman" w:cs="Times New Roman"/>
          <w:sz w:val="24"/>
          <w:szCs w:val="24"/>
          <w:lang w:val="es-ES" w:eastAsia="es-ES"/>
        </w:rPr>
        <w:t>VALOR DEL PLIEGO: $ 2.000,00.-  (Pesos Dos Mil con 00/100.-).</w:t>
      </w:r>
    </w:p>
    <w:p w:rsidR="003A0138" w:rsidRPr="003A0138" w:rsidRDefault="003A0138" w:rsidP="003A0138">
      <w:pPr>
        <w:jc w:val="both"/>
      </w:pPr>
      <w:r w:rsidRPr="00B1752E">
        <w:rPr>
          <w:rFonts w:ascii="Times New Roman" w:eastAsia="Times New Roman" w:hAnsi="Times New Roman" w:cs="Times New Roman"/>
          <w:sz w:val="24"/>
          <w:szCs w:val="24"/>
          <w:lang w:val="es-ES" w:eastAsia="es-ES"/>
        </w:rPr>
        <w:t xml:space="preserve">CÓDIGO SUGERIDO DE ACTIVIDAD: 266010 </w:t>
      </w:r>
      <w:r>
        <w:rPr>
          <w:rFonts w:ascii="Times New Roman" w:eastAsia="Times New Roman" w:hAnsi="Times New Roman" w:cs="Times New Roman"/>
          <w:sz w:val="24"/>
          <w:szCs w:val="24"/>
          <w:lang w:val="es-ES" w:eastAsia="es-ES"/>
        </w:rPr>
        <w:t xml:space="preserve">- </w:t>
      </w:r>
      <w:r w:rsidRPr="00B1752E">
        <w:rPr>
          <w:rFonts w:ascii="Times New Roman" w:eastAsia="Times New Roman" w:hAnsi="Times New Roman" w:cs="Times New Roman"/>
          <w:sz w:val="24"/>
          <w:szCs w:val="24"/>
          <w:lang w:val="es-ES" w:eastAsia="es-ES"/>
        </w:rPr>
        <w:t>465350.</w:t>
      </w:r>
    </w:p>
    <w:p w:rsidR="003A0138" w:rsidRPr="00AA2D5B" w:rsidRDefault="003A0138" w:rsidP="003A0138">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lastRenderedPageBreak/>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3A0138" w:rsidRPr="006D6B2D" w:rsidRDefault="003A0138" w:rsidP="003A0138">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3A0138" w:rsidRDefault="003A0138" w:rsidP="003A0138">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3A0138" w:rsidRPr="00E12E66" w:rsidRDefault="003A0138" w:rsidP="003A0138">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3A0138" w:rsidRPr="00E12E66" w:rsidRDefault="003A0138" w:rsidP="003A0138">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3A0138" w:rsidRPr="00E12E66" w:rsidRDefault="003A0138" w:rsidP="003A0138">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3A0138" w:rsidRPr="00090C8C" w:rsidRDefault="003A0138" w:rsidP="003A0138">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3A0138" w:rsidRPr="00E12E66" w:rsidRDefault="003A0138" w:rsidP="003A013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3A0138" w:rsidRPr="00E12E66" w:rsidRDefault="003A0138" w:rsidP="003A013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3A0138" w:rsidRPr="00E12E66" w:rsidRDefault="003A0138" w:rsidP="003A013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3A0138" w:rsidRPr="00E12E66" w:rsidRDefault="003A0138" w:rsidP="003A013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3A0138" w:rsidRPr="00E12E66" w:rsidRDefault="003A0138" w:rsidP="003A013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3A0138" w:rsidRPr="00E12E66" w:rsidRDefault="003A0138" w:rsidP="003A013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3A0138" w:rsidRPr="00E12E66" w:rsidRDefault="003A0138" w:rsidP="003A013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de no encontrarse los integrantes de los órganos de administración y fiscalización, fallidos, inhabilitados, o con proceso judicial por </w:t>
      </w:r>
      <w:r w:rsidRPr="00E12E66">
        <w:rPr>
          <w:rFonts w:ascii="Times New Roman" w:hAnsi="Times New Roman" w:cs="Times New Roman"/>
          <w:bCs/>
          <w:sz w:val="24"/>
          <w:szCs w:val="24"/>
          <w:lang w:val="es-ES_tradnl"/>
        </w:rPr>
        <w:lastRenderedPageBreak/>
        <w:t>incumplimiento contractual y/o causas pendientes con el Estado Nacional, Provincial, Municipal.</w:t>
      </w:r>
    </w:p>
    <w:p w:rsidR="003A0138" w:rsidRPr="00E12E66" w:rsidRDefault="003A0138" w:rsidP="003A013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3A0138" w:rsidRPr="00E12E66" w:rsidRDefault="003A0138" w:rsidP="003A013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3A0138" w:rsidRPr="00E12E66" w:rsidRDefault="003A0138" w:rsidP="003A013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3A0138" w:rsidRPr="00E12E66" w:rsidRDefault="003A0138" w:rsidP="003A013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3A0138" w:rsidRPr="00E12E66" w:rsidRDefault="003A0138" w:rsidP="003A0138">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3A0138" w:rsidRPr="00E12E66" w:rsidRDefault="003A0138" w:rsidP="003A013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3A0138" w:rsidRDefault="003A0138" w:rsidP="003A013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3A0138" w:rsidRPr="00593911" w:rsidRDefault="003A0138" w:rsidP="003A013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3A0138" w:rsidRDefault="003A0138" w:rsidP="003A013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3A0138" w:rsidRDefault="003A0138" w:rsidP="003A013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3A0138" w:rsidRPr="009B610F" w:rsidRDefault="003A0138" w:rsidP="003A0138">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3A0138" w:rsidRPr="009B610F" w:rsidRDefault="003A0138" w:rsidP="003A013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3A0138" w:rsidRPr="009B610F" w:rsidRDefault="003A0138" w:rsidP="003A013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3A0138" w:rsidRPr="009B610F" w:rsidRDefault="003A0138" w:rsidP="003A013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3A0138" w:rsidRDefault="003A0138" w:rsidP="003A013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3A0138" w:rsidRDefault="003A0138" w:rsidP="003A013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3A0138" w:rsidRDefault="003A0138" w:rsidP="003A0138">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lastRenderedPageBreak/>
        <w:t>Cuando el pagare sea presentado con Aval Comercial</w:t>
      </w:r>
      <w:r>
        <w:rPr>
          <w:rFonts w:eastAsiaTheme="minorHAnsi"/>
          <w:bCs/>
          <w:lang w:val="es-ES_tradnl" w:eastAsia="en-US"/>
        </w:rPr>
        <w:t xml:space="preserve">, además de los requisitos del párrafo anterior, debe ser acompañado con: </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3A0138" w:rsidRDefault="003A0138" w:rsidP="003A0138">
      <w:pPr>
        <w:pStyle w:val="NormalWeb"/>
        <w:spacing w:before="0" w:beforeAutospacing="0" w:after="0" w:line="276" w:lineRule="auto"/>
        <w:jc w:val="both"/>
        <w:rPr>
          <w:rFonts w:eastAsiaTheme="minorHAnsi"/>
          <w:bCs/>
          <w:lang w:val="es-ES_tradnl" w:eastAsia="en-US"/>
        </w:rPr>
      </w:pPr>
    </w:p>
    <w:p w:rsidR="003A0138" w:rsidRDefault="003A0138" w:rsidP="003A0138">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3A0138" w:rsidRDefault="003A0138" w:rsidP="003A013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3A0138" w:rsidRDefault="003A0138" w:rsidP="003A013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3A0138" w:rsidRDefault="003A0138" w:rsidP="003A013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3A0138" w:rsidRDefault="003A0138" w:rsidP="003A0138">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3A0138" w:rsidRDefault="003A0138" w:rsidP="003A013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3A0138" w:rsidRDefault="003A0138" w:rsidP="003A013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3A0138" w:rsidRDefault="003A0138" w:rsidP="003A013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3A0138" w:rsidRPr="00605C88" w:rsidRDefault="003A0138" w:rsidP="003A013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3A0138" w:rsidRPr="00E12E66" w:rsidRDefault="003A0138" w:rsidP="003A0138">
      <w:pPr>
        <w:suppressAutoHyphens/>
        <w:spacing w:after="120" w:line="240" w:lineRule="auto"/>
        <w:ind w:left="851"/>
        <w:jc w:val="both"/>
        <w:rPr>
          <w:rFonts w:ascii="Times New Roman" w:hAnsi="Times New Roman" w:cs="Times New Roman"/>
          <w:bCs/>
          <w:sz w:val="24"/>
          <w:szCs w:val="24"/>
          <w:lang w:val="es-ES_tradnl"/>
        </w:rPr>
      </w:pPr>
    </w:p>
    <w:p w:rsidR="003A0138" w:rsidRPr="00E12E66" w:rsidRDefault="003A0138" w:rsidP="003A013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3A0138" w:rsidRPr="00E12E66" w:rsidRDefault="003A0138" w:rsidP="003A0138">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3A0138" w:rsidRPr="00E12E66" w:rsidRDefault="003A0138" w:rsidP="003A0138">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3A0138" w:rsidRPr="00360C75" w:rsidRDefault="003A0138" w:rsidP="003A0138">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w:t>
      </w:r>
      <w:r w:rsidRPr="00360C75">
        <w:rPr>
          <w:rFonts w:ascii="Times New Roman" w:hAnsi="Times New Roman" w:cs="Times New Roman"/>
          <w:bCs/>
          <w:sz w:val="24"/>
          <w:szCs w:val="24"/>
          <w:lang w:val="es-ES_tradnl"/>
        </w:rPr>
        <w:t xml:space="preserve">máximo de Cinco (5) días hábiles posteriores a la fecha de apertura. </w:t>
      </w:r>
    </w:p>
    <w:p w:rsidR="003A0138" w:rsidRPr="00360C75" w:rsidRDefault="003A0138" w:rsidP="003A0138">
      <w:pPr>
        <w:pStyle w:val="Prrafodelista"/>
        <w:widowControl w:val="0"/>
        <w:numPr>
          <w:ilvl w:val="0"/>
          <w:numId w:val="14"/>
        </w:numPr>
        <w:spacing w:after="100" w:afterAutospacing="1"/>
        <w:ind w:left="786"/>
        <w:jc w:val="both"/>
        <w:rPr>
          <w:rFonts w:ascii="Times New Roman" w:hAnsi="Times New Roman" w:cs="Times New Roman"/>
          <w:bCs/>
          <w:sz w:val="24"/>
          <w:szCs w:val="24"/>
          <w:u w:val="single"/>
          <w:lang w:val="es-ES_tradnl"/>
        </w:rPr>
      </w:pPr>
      <w:r w:rsidRPr="00360C75">
        <w:rPr>
          <w:rFonts w:ascii="Times New Roman" w:hAnsi="Times New Roman" w:cs="Times New Roman"/>
          <w:bCs/>
          <w:sz w:val="24"/>
          <w:szCs w:val="24"/>
          <w:u w:val="single"/>
          <w:lang w:val="es-ES_tradnl"/>
        </w:rPr>
        <w:t>Documentación Específica para adquisición de Equipamiento Biomédico</w:t>
      </w:r>
    </w:p>
    <w:p w:rsidR="003A0138" w:rsidRPr="00360C75" w:rsidRDefault="003A0138" w:rsidP="003A0138">
      <w:pPr>
        <w:widowControl w:val="0"/>
        <w:suppressAutoHyphens/>
        <w:spacing w:after="120" w:line="240" w:lineRule="auto"/>
        <w:ind w:left="851"/>
        <w:jc w:val="both"/>
        <w:rPr>
          <w:rFonts w:ascii="Times New Roman" w:hAnsi="Times New Roman" w:cs="Times New Roman"/>
          <w:bCs/>
          <w:sz w:val="24"/>
          <w:szCs w:val="24"/>
          <w:lang w:val="es-ES_tradnl"/>
        </w:rPr>
      </w:pPr>
      <w:r w:rsidRPr="00360C75">
        <w:rPr>
          <w:rFonts w:ascii="Times New Roman" w:hAnsi="Times New Roman" w:cs="Times New Roman"/>
          <w:b/>
          <w:bCs/>
          <w:sz w:val="24"/>
          <w:szCs w:val="24"/>
          <w:lang w:val="es-ES_tradnl"/>
        </w:rPr>
        <w:t>Garantía</w:t>
      </w:r>
      <w:r w:rsidRPr="00360C75">
        <w:rPr>
          <w:rFonts w:ascii="Times New Roman" w:hAnsi="Times New Roman" w:cs="Times New Roman"/>
          <w:bCs/>
          <w:sz w:val="24"/>
          <w:szCs w:val="24"/>
          <w:lang w:val="es-ES_tradnl"/>
        </w:rPr>
        <w:t>: El oferente debe adjuntar, en carácter de declaración jurada, la siguiente información:</w:t>
      </w:r>
    </w:p>
    <w:p w:rsidR="003A0138" w:rsidRPr="00360C75" w:rsidRDefault="003A0138" w:rsidP="003A0138">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360C75">
        <w:rPr>
          <w:rFonts w:ascii="Times New Roman" w:hAnsi="Times New Roman" w:cs="Times New Roman"/>
          <w:bCs/>
          <w:sz w:val="24"/>
          <w:szCs w:val="24"/>
          <w:lang w:val="es-ES_tradnl"/>
        </w:rPr>
        <w:t>Garantía escrita de los bienes ofertados y la provisión de repuestos en caso de reemplazo de piezas o parte de las mismas, por un término no inferior a doce (12) meses, detallando dirección y datos de contactos para este fin.</w:t>
      </w:r>
    </w:p>
    <w:p w:rsidR="003A0138" w:rsidRPr="00360C75" w:rsidRDefault="003A0138" w:rsidP="003A0138">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360C75">
        <w:rPr>
          <w:rFonts w:ascii="Times New Roman" w:hAnsi="Times New Roman" w:cs="Times New Roman"/>
          <w:bCs/>
          <w:sz w:val="24"/>
          <w:szCs w:val="24"/>
          <w:lang w:val="es-ES_tradnl"/>
        </w:rPr>
        <w:t>Una descripción de la capacidad técnica, los talleres, las instalaciones y el equipamiento y stock con el que cuenta el oferente para brindar la garantía de buen funcionamiento.</w:t>
      </w:r>
    </w:p>
    <w:p w:rsidR="003A0138" w:rsidRPr="00360C75" w:rsidRDefault="003A0138" w:rsidP="003A0138">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360C75">
        <w:rPr>
          <w:rFonts w:ascii="Times New Roman" w:hAnsi="Times New Roman" w:cs="Times New Roman"/>
          <w:bCs/>
          <w:sz w:val="24"/>
          <w:szCs w:val="24"/>
          <w:lang w:val="es-ES_tradnl"/>
        </w:rPr>
        <w:t>Deberá presentar, junto con la oferta, las copias de las portadas y los índices de los manuales en idioma original o castellano.</w:t>
      </w:r>
    </w:p>
    <w:p w:rsidR="003A0138" w:rsidRPr="00360C75" w:rsidRDefault="003A0138" w:rsidP="003A0138">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360C75">
        <w:rPr>
          <w:rFonts w:ascii="Times New Roman" w:hAnsi="Times New Roman" w:cs="Times New Roman"/>
          <w:bCs/>
          <w:sz w:val="24"/>
          <w:szCs w:val="24"/>
          <w:lang w:val="es-ES_tradnl"/>
        </w:rPr>
        <w:lastRenderedPageBreak/>
        <w:t>El compromiso de mantener en la República Argentina, la capacidad técnica, los talleres, el equipamiento y los repuestos suficientes para suministrar los servicios de mantenimiento preventivo y correctivo de los equipos por un periodo mínimo de doce (12) meses a partir de la recepción definitiva de los bienes.</w:t>
      </w:r>
    </w:p>
    <w:p w:rsidR="003A0138" w:rsidRPr="00360C75" w:rsidRDefault="003A0138" w:rsidP="003A0138">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360C75">
        <w:rPr>
          <w:rFonts w:ascii="Times New Roman" w:hAnsi="Times New Roman" w:cs="Times New Roman"/>
          <w:bCs/>
          <w:sz w:val="24"/>
          <w:szCs w:val="24"/>
          <w:lang w:val="es-ES_tradnl"/>
        </w:rPr>
        <w:t>Para Equipamiento Biomédico: Deberán dar cumplimiento a la normativa de ANMAT correspondiente.</w:t>
      </w:r>
    </w:p>
    <w:p w:rsidR="003A0138" w:rsidRDefault="003A0138" w:rsidP="003A0138">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3A0138" w:rsidRDefault="003A0138" w:rsidP="003A0138">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3A0138" w:rsidRDefault="003A0138" w:rsidP="003A013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3A0138" w:rsidRPr="00B1752E" w:rsidRDefault="003A0138" w:rsidP="003A013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3A0138" w:rsidRPr="00291346" w:rsidRDefault="003A0138" w:rsidP="003A013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3A0138" w:rsidRPr="001E7EBE" w:rsidRDefault="003A0138" w:rsidP="003A0138">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3A0138" w:rsidRPr="001E7EBE" w:rsidRDefault="003A0138" w:rsidP="003A0138">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3A0138" w:rsidRPr="001E7EBE" w:rsidRDefault="003A0138" w:rsidP="003A0138">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3A0138" w:rsidRPr="00012FC5" w:rsidRDefault="003A0138" w:rsidP="003A0138">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3A0138" w:rsidRPr="00012FC5" w:rsidRDefault="003A0138" w:rsidP="003A0138">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w:t>
      </w:r>
      <w:r w:rsidRPr="00B1752E">
        <w:rPr>
          <w:rFonts w:ascii="Times New Roman" w:hAnsi="Times New Roman" w:cs="Times New Roman"/>
          <w:bCs/>
          <w:sz w:val="24"/>
          <w:szCs w:val="24"/>
          <w:lang w:val="es-ES_tradnl"/>
        </w:rPr>
        <w:t>, 13, 14 y</w:t>
      </w:r>
      <w:r w:rsidRPr="00012FC5">
        <w:rPr>
          <w:rFonts w:ascii="Times New Roman" w:hAnsi="Times New Roman" w:cs="Times New Roman"/>
          <w:bCs/>
          <w:sz w:val="24"/>
          <w:szCs w:val="24"/>
          <w:lang w:val="es-ES_tradnl"/>
        </w:rPr>
        <w:t xml:space="preserve">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3A0138" w:rsidRPr="00935073" w:rsidRDefault="003A0138" w:rsidP="003A0138">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3A0138" w:rsidRPr="001E7EBE" w:rsidRDefault="003A0138" w:rsidP="003A0138">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3A0138" w:rsidRDefault="003A0138" w:rsidP="003A0138">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3A0138" w:rsidRPr="001E7EBE" w:rsidRDefault="003A0138" w:rsidP="003A0138">
      <w:pPr>
        <w:pStyle w:val="NormalWeb"/>
        <w:spacing w:before="0" w:beforeAutospacing="0" w:after="0"/>
        <w:ind w:left="426"/>
        <w:jc w:val="both"/>
        <w:rPr>
          <w:rFonts w:eastAsiaTheme="minorHAnsi"/>
          <w:bCs/>
          <w:lang w:val="es-ES_tradnl" w:eastAsia="en-US"/>
        </w:rPr>
      </w:pPr>
    </w:p>
    <w:p w:rsidR="003A0138" w:rsidRDefault="003A0138" w:rsidP="003A0138">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xml:space="preserve">: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w:t>
      </w:r>
      <w:r w:rsidRPr="001E7EBE">
        <w:rPr>
          <w:rFonts w:ascii="Times New Roman" w:hAnsi="Times New Roman" w:cs="Times New Roman"/>
          <w:bCs/>
          <w:sz w:val="24"/>
          <w:szCs w:val="24"/>
          <w:lang w:val="es-ES_tradnl"/>
        </w:rPr>
        <w:lastRenderedPageBreak/>
        <w:t>formal alguna al presentante. El Ministerio no devolverá lo depositado en garantía si la impugnación fuese rechazada.</w:t>
      </w:r>
    </w:p>
    <w:p w:rsidR="003A0138" w:rsidRPr="007D34C3" w:rsidRDefault="003A0138" w:rsidP="003A0138">
      <w:pPr>
        <w:widowControl w:val="0"/>
        <w:suppressAutoHyphens/>
        <w:spacing w:after="0" w:line="240" w:lineRule="auto"/>
        <w:ind w:left="426" w:right="74"/>
        <w:jc w:val="both"/>
        <w:rPr>
          <w:rFonts w:ascii="Times New Roman" w:hAnsi="Times New Roman" w:cs="Times New Roman"/>
          <w:bCs/>
          <w:sz w:val="24"/>
          <w:szCs w:val="24"/>
          <w:lang w:val="es-ES_tradnl"/>
        </w:rPr>
      </w:pPr>
    </w:p>
    <w:p w:rsidR="003A0138" w:rsidRPr="001E7EBE" w:rsidRDefault="003A0138" w:rsidP="003A0138">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3A0138" w:rsidRPr="001E7EBE" w:rsidRDefault="003A0138" w:rsidP="003A0138">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3A0138" w:rsidRPr="001E7EBE" w:rsidRDefault="003A0138" w:rsidP="003A0138">
      <w:pPr>
        <w:pStyle w:val="NormalWeb"/>
        <w:spacing w:before="0" w:beforeAutospacing="0" w:after="0"/>
        <w:ind w:left="426"/>
        <w:jc w:val="both"/>
        <w:rPr>
          <w:rFonts w:eastAsiaTheme="minorHAnsi"/>
          <w:b/>
          <w:bCs/>
          <w:lang w:val="es-ES_tradnl" w:eastAsia="en-US"/>
        </w:rPr>
      </w:pPr>
    </w:p>
    <w:p w:rsidR="003A0138" w:rsidRDefault="003A0138" w:rsidP="003A0138">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3A0138" w:rsidRDefault="003A0138" w:rsidP="003A0138">
      <w:pPr>
        <w:suppressAutoHyphens/>
        <w:spacing w:after="0" w:line="240" w:lineRule="auto"/>
        <w:ind w:left="426"/>
        <w:jc w:val="both"/>
        <w:rPr>
          <w:rFonts w:ascii="Times New Roman" w:hAnsi="Times New Roman" w:cs="Times New Roman"/>
          <w:bCs/>
          <w:sz w:val="24"/>
          <w:szCs w:val="24"/>
          <w:lang w:val="es-ES_tradnl"/>
        </w:rPr>
      </w:pPr>
    </w:p>
    <w:p w:rsidR="003A0138" w:rsidRDefault="003A0138" w:rsidP="003A0138">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3A0138" w:rsidRPr="00605C88" w:rsidRDefault="003A0138" w:rsidP="003A0138">
      <w:pPr>
        <w:suppressAutoHyphens/>
        <w:spacing w:after="0" w:line="240" w:lineRule="auto"/>
        <w:jc w:val="both"/>
        <w:rPr>
          <w:rFonts w:ascii="Times New Roman" w:hAnsi="Times New Roman" w:cs="Times New Roman"/>
          <w:bCs/>
          <w:sz w:val="24"/>
          <w:szCs w:val="24"/>
          <w:lang w:val="es-ES_tradnl"/>
        </w:rPr>
      </w:pPr>
    </w:p>
    <w:p w:rsidR="003A0138" w:rsidRPr="00031FA6" w:rsidRDefault="003A0138" w:rsidP="003A013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3A0138" w:rsidRDefault="003A0138" w:rsidP="003A013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3A0138" w:rsidRPr="009B610F" w:rsidRDefault="003A0138" w:rsidP="003A0138">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3A0138" w:rsidRPr="009B610F" w:rsidRDefault="003A0138" w:rsidP="003A013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3A0138" w:rsidRPr="009B610F" w:rsidRDefault="003A0138" w:rsidP="003A013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3A0138" w:rsidRPr="009B610F" w:rsidRDefault="003A0138" w:rsidP="003A013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3A0138" w:rsidRPr="00C413E3" w:rsidRDefault="003A0138" w:rsidP="003A013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3A0138" w:rsidRPr="00E55FF1" w:rsidRDefault="003A0138" w:rsidP="003A013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3A0138" w:rsidRPr="00E55FF1" w:rsidRDefault="003A0138" w:rsidP="003A0138">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3A0138" w:rsidRPr="00E55FF1" w:rsidRDefault="003A0138" w:rsidP="003A013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3A0138" w:rsidRPr="00E55FF1" w:rsidRDefault="003A0138" w:rsidP="003A013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3A0138" w:rsidRPr="00E55FF1" w:rsidRDefault="003A0138" w:rsidP="003A013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3A0138" w:rsidRPr="00E55FF1" w:rsidRDefault="003A0138" w:rsidP="003A013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3A0138" w:rsidRPr="00E55FF1" w:rsidRDefault="003A0138" w:rsidP="003A0138">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3A0138" w:rsidRPr="00E55FF1" w:rsidRDefault="003A0138" w:rsidP="003A013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3A0138" w:rsidRPr="00E55FF1" w:rsidRDefault="003A0138" w:rsidP="003A013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3A0138" w:rsidRPr="00E55FF1" w:rsidRDefault="003A0138" w:rsidP="003A013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3A0138" w:rsidRDefault="003A0138" w:rsidP="003A013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3A0138" w:rsidRPr="00E55FF1" w:rsidRDefault="003A0138" w:rsidP="003A0138">
      <w:pPr>
        <w:pStyle w:val="NormalWeb"/>
        <w:spacing w:before="0" w:beforeAutospacing="0" w:after="0" w:line="276" w:lineRule="auto"/>
        <w:ind w:left="851"/>
        <w:jc w:val="both"/>
        <w:rPr>
          <w:rFonts w:eastAsiaTheme="minorHAnsi"/>
          <w:bCs/>
          <w:lang w:val="es-ES_tradnl" w:eastAsia="en-US"/>
        </w:rPr>
      </w:pPr>
    </w:p>
    <w:p w:rsidR="003A0138" w:rsidRPr="00E55FF1" w:rsidRDefault="003A0138" w:rsidP="003A0138">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3A0138" w:rsidRPr="00E55FF1" w:rsidRDefault="003A0138" w:rsidP="003A013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3A0138" w:rsidRPr="00E55FF1" w:rsidRDefault="003A0138" w:rsidP="003A013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3A0138" w:rsidRPr="00E55FF1" w:rsidRDefault="003A0138" w:rsidP="003A013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3A0138" w:rsidRPr="00E55FF1" w:rsidRDefault="003A0138" w:rsidP="003A013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3A0138" w:rsidRPr="00E55FF1" w:rsidRDefault="003A0138" w:rsidP="003A0138">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3A0138" w:rsidRPr="00E55FF1" w:rsidRDefault="003A0138" w:rsidP="003A013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3A0138" w:rsidRPr="00E55FF1" w:rsidRDefault="003A0138" w:rsidP="003A013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3A0138" w:rsidRPr="00E55FF1" w:rsidRDefault="003A0138" w:rsidP="003A013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3A0138" w:rsidRPr="00605C88" w:rsidRDefault="003A0138" w:rsidP="003A013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3A0138" w:rsidRPr="001E7EBE" w:rsidRDefault="003A0138" w:rsidP="003A0138">
      <w:pPr>
        <w:suppressAutoHyphens/>
        <w:spacing w:after="0" w:line="240" w:lineRule="auto"/>
        <w:ind w:left="426"/>
        <w:jc w:val="both"/>
        <w:rPr>
          <w:bCs/>
          <w:lang w:val="es-ES_tradnl"/>
        </w:rPr>
      </w:pPr>
    </w:p>
    <w:p w:rsidR="003A0138" w:rsidRPr="00006C5E" w:rsidRDefault="003A0138" w:rsidP="003A0138">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3A0138" w:rsidRDefault="003A0138" w:rsidP="003A0138">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3A0138" w:rsidRPr="008B3756" w:rsidRDefault="003A0138" w:rsidP="003A0138">
      <w:pPr>
        <w:pStyle w:val="NormalWeb"/>
        <w:spacing w:before="0" w:beforeAutospacing="0" w:after="0"/>
        <w:jc w:val="both"/>
        <w:rPr>
          <w:rFonts w:eastAsiaTheme="minorHAnsi"/>
          <w:bCs/>
          <w:lang w:val="es-ES_tradnl" w:eastAsia="en-US"/>
        </w:rPr>
      </w:pPr>
      <w:r>
        <w:t xml:space="preserve">1) Causales de Suspensión por el plazo de 180 días: </w:t>
      </w:r>
    </w:p>
    <w:p w:rsidR="003A0138" w:rsidRDefault="003A0138" w:rsidP="003A0138">
      <w:pPr>
        <w:pStyle w:val="NormalWeb"/>
        <w:spacing w:before="0" w:beforeAutospacing="0" w:after="0"/>
        <w:ind w:left="426"/>
        <w:jc w:val="both"/>
      </w:pPr>
      <w:r>
        <w:t xml:space="preserve">a) Incumplir en forma total o parcial con la entrega de los bienes o la realización de los servicios. </w:t>
      </w:r>
    </w:p>
    <w:p w:rsidR="003A0138" w:rsidRDefault="003A0138" w:rsidP="003A0138">
      <w:pPr>
        <w:pStyle w:val="NormalWeb"/>
        <w:spacing w:before="0" w:beforeAutospacing="0" w:after="0"/>
        <w:ind w:left="426"/>
        <w:jc w:val="both"/>
      </w:pPr>
      <w:r>
        <w:t xml:space="preserve">b) Entregar los bienes o prestar los servicios fuera del término en más de dos oportunidades, dentro del mismo ejercicio. </w:t>
      </w:r>
    </w:p>
    <w:p w:rsidR="003A0138" w:rsidRDefault="003A0138" w:rsidP="003A0138">
      <w:pPr>
        <w:pStyle w:val="NormalWeb"/>
        <w:spacing w:before="0" w:beforeAutospacing="0" w:after="0"/>
        <w:ind w:left="426"/>
        <w:jc w:val="both"/>
      </w:pPr>
      <w:r>
        <w:t xml:space="preserve">c) Entregar bienes o prestar servicios que no cumplan los requisitos de especificidad establecidos en la oferta.  </w:t>
      </w:r>
    </w:p>
    <w:p w:rsidR="003A0138" w:rsidRDefault="003A0138" w:rsidP="003A0138">
      <w:pPr>
        <w:pStyle w:val="NormalWeb"/>
        <w:spacing w:before="0" w:beforeAutospacing="0" w:after="0"/>
        <w:ind w:left="-284" w:firstLine="284"/>
        <w:jc w:val="both"/>
      </w:pPr>
      <w:r>
        <w:t xml:space="preserve">2) Causales de Inhabilitación Temporaria o Permanente: </w:t>
      </w:r>
    </w:p>
    <w:p w:rsidR="003A0138" w:rsidRDefault="003A0138" w:rsidP="003A0138">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3A0138" w:rsidRDefault="003A0138" w:rsidP="003A0138">
      <w:pPr>
        <w:pStyle w:val="NormalWeb"/>
        <w:spacing w:before="0" w:beforeAutospacing="0" w:after="0"/>
        <w:ind w:left="426"/>
        <w:jc w:val="both"/>
      </w:pPr>
      <w:r>
        <w:t xml:space="preserve">b) Se compruebe conductas graves que atenten contra el medio ambiente. </w:t>
      </w:r>
    </w:p>
    <w:p w:rsidR="003A0138" w:rsidRDefault="003A0138" w:rsidP="003A0138">
      <w:pPr>
        <w:pStyle w:val="NormalWeb"/>
        <w:spacing w:before="0" w:beforeAutospacing="0" w:after="0"/>
        <w:ind w:left="426"/>
        <w:jc w:val="both"/>
      </w:pPr>
      <w:r>
        <w:t xml:space="preserve">c) Se compruebe fehacientemente la presentación por el proveedor de información falsa o adulterada. </w:t>
      </w:r>
    </w:p>
    <w:p w:rsidR="003A0138" w:rsidRDefault="003A0138" w:rsidP="003A0138">
      <w:pPr>
        <w:pStyle w:val="NormalWeb"/>
        <w:spacing w:before="0" w:beforeAutospacing="0" w:after="0"/>
        <w:ind w:left="426"/>
        <w:jc w:val="both"/>
      </w:pPr>
      <w:r>
        <w:t xml:space="preserve">d) Declaración de la quiebra hasta la rehabilitación. </w:t>
      </w:r>
    </w:p>
    <w:p w:rsidR="003A0138" w:rsidRDefault="003A0138" w:rsidP="003A0138">
      <w:pPr>
        <w:pStyle w:val="NormalWeb"/>
        <w:spacing w:before="0" w:beforeAutospacing="0" w:after="0"/>
        <w:ind w:left="426"/>
        <w:jc w:val="both"/>
      </w:pPr>
      <w:r>
        <w:t xml:space="preserve">e) En caso de incurrir en tres (3) suspensiones por un período de dos (2) años, el plazo de suspensión será de 2 años. </w:t>
      </w:r>
    </w:p>
    <w:p w:rsidR="003A0138" w:rsidRDefault="003A0138" w:rsidP="003A0138">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3A0138" w:rsidRDefault="003A0138" w:rsidP="003A0138">
      <w:pPr>
        <w:pStyle w:val="NormalWeb"/>
        <w:spacing w:before="0" w:beforeAutospacing="0" w:after="0"/>
        <w:jc w:val="both"/>
        <w:rPr>
          <w:bCs/>
          <w:lang w:val="es-ES_tradnl"/>
        </w:rPr>
      </w:pPr>
    </w:p>
    <w:p w:rsidR="003A0138" w:rsidRDefault="003A0138" w:rsidP="003A0138">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3A0138" w:rsidRDefault="003A0138" w:rsidP="003A0138">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3A0138" w:rsidRPr="00351ECB" w:rsidRDefault="003A0138" w:rsidP="003A0138">
      <w:pPr>
        <w:pStyle w:val="NormalWeb"/>
        <w:spacing w:before="0" w:beforeAutospacing="0" w:after="0"/>
        <w:jc w:val="both"/>
      </w:pPr>
      <w:r>
        <w:t>Según Modificatoria de Clausulas Generales Decreto 664-MSP-2019.</w:t>
      </w:r>
    </w:p>
    <w:p w:rsidR="003A0138" w:rsidRPr="003B5518" w:rsidRDefault="003A0138" w:rsidP="003A0138">
      <w:pPr>
        <w:pStyle w:val="NormalWeb"/>
        <w:spacing w:before="0" w:beforeAutospacing="0" w:after="0"/>
        <w:jc w:val="both"/>
        <w:rPr>
          <w:rFonts w:ascii="Verdana" w:hAnsi="Verdana" w:cs="Arial"/>
          <w:sz w:val="20"/>
          <w:szCs w:val="20"/>
        </w:rPr>
      </w:pPr>
    </w:p>
    <w:p w:rsidR="003A0138" w:rsidRPr="00B1752E" w:rsidRDefault="003A0138" w:rsidP="003A0138">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B1752E">
        <w:rPr>
          <w:rFonts w:ascii="Times New Roman" w:hAnsi="Times New Roman" w:cs="Times New Roman"/>
          <w:b/>
          <w:bCs/>
          <w:sz w:val="24"/>
          <w:szCs w:val="24"/>
          <w:lang w:val="es-ES_tradnl"/>
        </w:rPr>
        <w:t xml:space="preserve">Plazo y forma de entrega: </w:t>
      </w:r>
    </w:p>
    <w:p w:rsidR="003A0138" w:rsidRPr="00B1752E" w:rsidRDefault="003A0138" w:rsidP="003A0138">
      <w:pPr>
        <w:pStyle w:val="NormalWeb"/>
        <w:numPr>
          <w:ilvl w:val="0"/>
          <w:numId w:val="16"/>
        </w:numPr>
        <w:spacing w:before="0" w:beforeAutospacing="0" w:after="0"/>
        <w:jc w:val="both"/>
        <w:rPr>
          <w:rFonts w:eastAsiaTheme="minorHAnsi"/>
          <w:b/>
          <w:bCs/>
          <w:u w:val="single"/>
          <w:lang w:val="es-ES_tradnl" w:eastAsia="en-US"/>
        </w:rPr>
      </w:pPr>
      <w:r w:rsidRPr="00B1752E">
        <w:rPr>
          <w:rFonts w:eastAsiaTheme="minorHAnsi"/>
          <w:b/>
          <w:bCs/>
          <w:u w:val="single"/>
          <w:lang w:val="es-ES_tradnl" w:eastAsia="en-US"/>
        </w:rPr>
        <w:t>En General</w:t>
      </w:r>
    </w:p>
    <w:p w:rsidR="003A0138" w:rsidRPr="00B1752E" w:rsidRDefault="003A0138" w:rsidP="003A0138">
      <w:pPr>
        <w:pStyle w:val="NormalWeb"/>
        <w:spacing w:before="0" w:beforeAutospacing="0" w:after="0"/>
        <w:ind w:left="360"/>
        <w:jc w:val="both"/>
        <w:rPr>
          <w:rFonts w:eastAsiaTheme="minorHAnsi"/>
          <w:bCs/>
          <w:lang w:val="es-ES_tradnl" w:eastAsia="en-US"/>
        </w:rPr>
      </w:pPr>
    </w:p>
    <w:p w:rsidR="003A0138" w:rsidRPr="00B1752E" w:rsidRDefault="003A0138" w:rsidP="003A0138">
      <w:pPr>
        <w:pStyle w:val="NormalWeb"/>
        <w:spacing w:before="0" w:beforeAutospacing="0" w:after="0"/>
        <w:jc w:val="both"/>
        <w:rPr>
          <w:rFonts w:eastAsiaTheme="minorHAnsi"/>
          <w:bCs/>
          <w:lang w:val="es-ES_tradnl" w:eastAsia="en-US"/>
        </w:rPr>
      </w:pPr>
      <w:r w:rsidRPr="00B1752E">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3A0138" w:rsidRPr="00B1752E" w:rsidRDefault="003A0138" w:rsidP="003A0138">
      <w:pPr>
        <w:pStyle w:val="NormalWeb"/>
        <w:spacing w:before="0" w:beforeAutospacing="0" w:after="0"/>
        <w:jc w:val="both"/>
        <w:rPr>
          <w:rFonts w:eastAsiaTheme="minorHAnsi"/>
          <w:bCs/>
          <w:lang w:val="es-ES_tradnl" w:eastAsia="en-US"/>
        </w:rPr>
      </w:pPr>
      <w:r w:rsidRPr="00B1752E">
        <w:rPr>
          <w:rFonts w:eastAsiaTheme="minorHAnsi"/>
          <w:b/>
          <w:bCs/>
          <w:lang w:val="es-ES_tradnl" w:eastAsia="en-US"/>
        </w:rPr>
        <w:lastRenderedPageBreak/>
        <w:t>Plazo de entrega: 15 (quince) días hábiles</w:t>
      </w:r>
      <w:r w:rsidRPr="00B1752E">
        <w:rPr>
          <w:rFonts w:eastAsiaTheme="minorHAnsi"/>
          <w:bCs/>
          <w:lang w:val="es-ES_tradnl" w:eastAsia="en-US"/>
        </w:rPr>
        <w:t xml:space="preserve"> a partir de la fecha de notificación de la Orden de Entrega definitiva o contrato, </w:t>
      </w:r>
      <w:r w:rsidRPr="00B1752E">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B1752E">
        <w:rPr>
          <w:rFonts w:eastAsiaTheme="minorHAnsi"/>
          <w:bCs/>
          <w:lang w:val="es-ES_tradnl" w:eastAsia="en-US"/>
        </w:rPr>
        <w:t>, lo cual será evaluado por la Comisión de Adjudicación.-</w:t>
      </w:r>
    </w:p>
    <w:p w:rsidR="003A0138" w:rsidRPr="00B1752E" w:rsidRDefault="003A0138" w:rsidP="003A0138">
      <w:pPr>
        <w:pStyle w:val="NormalWeb"/>
        <w:spacing w:before="0" w:beforeAutospacing="0" w:after="0"/>
        <w:jc w:val="both"/>
        <w:rPr>
          <w:rFonts w:eastAsiaTheme="minorHAnsi"/>
          <w:b/>
          <w:bCs/>
          <w:u w:val="single"/>
          <w:lang w:val="es-ES_tradnl" w:eastAsia="en-US"/>
        </w:rPr>
      </w:pPr>
      <w:r w:rsidRPr="00B1752E">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B1752E">
        <w:rPr>
          <w:rFonts w:eastAsiaTheme="minorHAnsi"/>
          <w:b/>
          <w:bCs/>
          <w:u w:val="single"/>
          <w:lang w:val="es-ES_tradnl" w:eastAsia="en-US"/>
        </w:rPr>
        <w:t>ó</w:t>
      </w:r>
      <w:proofErr w:type="spellEnd"/>
      <w:r w:rsidRPr="00B1752E">
        <w:rPr>
          <w:rFonts w:eastAsiaTheme="minorHAnsi"/>
          <w:b/>
          <w:bCs/>
          <w:u w:val="single"/>
          <w:lang w:val="es-ES_tradnl" w:eastAsia="en-US"/>
        </w:rPr>
        <w:t xml:space="preserve"> los renglones entregados con mora, todo esto en la instancia al pago de la facturación presentada.-</w:t>
      </w:r>
    </w:p>
    <w:p w:rsidR="003A0138" w:rsidRPr="00B1752E" w:rsidRDefault="003A0138" w:rsidP="003A0138">
      <w:pPr>
        <w:pStyle w:val="NormalWeb"/>
        <w:spacing w:before="0" w:beforeAutospacing="0" w:after="0"/>
        <w:jc w:val="both"/>
        <w:rPr>
          <w:rFonts w:eastAsiaTheme="minorHAnsi"/>
          <w:bCs/>
          <w:lang w:val="es-ES_tradnl" w:eastAsia="en-US"/>
        </w:rPr>
      </w:pPr>
      <w:r w:rsidRPr="00B1752E">
        <w:rPr>
          <w:rFonts w:eastAsiaTheme="minorHAnsi"/>
          <w:bCs/>
          <w:lang w:val="es-ES_tradnl" w:eastAsia="en-US"/>
        </w:rPr>
        <w:t>Se deberá hacer entrega de las unidades que conforman el total del renglón o lote completo adjudicado.</w:t>
      </w:r>
    </w:p>
    <w:p w:rsidR="003A0138" w:rsidRPr="003B5518" w:rsidRDefault="003A0138" w:rsidP="003A0138">
      <w:pPr>
        <w:pStyle w:val="NormalWeb"/>
        <w:spacing w:before="0" w:beforeAutospacing="0" w:after="0"/>
        <w:jc w:val="both"/>
        <w:rPr>
          <w:rFonts w:ascii="Verdana" w:hAnsi="Verdana" w:cs="Arial"/>
          <w:sz w:val="20"/>
          <w:szCs w:val="20"/>
        </w:rPr>
      </w:pPr>
    </w:p>
    <w:p w:rsidR="003A0138" w:rsidRDefault="003A0138" w:rsidP="003A0138">
      <w:pPr>
        <w:spacing w:after="0" w:line="240" w:lineRule="auto"/>
        <w:contextualSpacing/>
        <w:jc w:val="center"/>
        <w:rPr>
          <w:rFonts w:ascii="Times New Roman" w:hAnsi="Times New Roman" w:cs="Times New Roman"/>
          <w:bCs/>
          <w:color w:val="FF0000"/>
          <w:sz w:val="24"/>
          <w:szCs w:val="24"/>
          <w:lang w:val="es-ES_tradnl"/>
        </w:rPr>
      </w:pPr>
    </w:p>
    <w:p w:rsidR="003A0138" w:rsidRPr="0085205E" w:rsidRDefault="003A0138" w:rsidP="003A0138">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764CFB" w:rsidRPr="0085205E" w:rsidRDefault="00764CFB" w:rsidP="00764CFB">
      <w:pPr>
        <w:spacing w:after="0" w:line="240" w:lineRule="auto"/>
        <w:contextualSpacing/>
        <w:jc w:val="both"/>
        <w:rPr>
          <w:rFonts w:ascii="Times New Roman" w:hAnsi="Times New Roman" w:cs="Times New Roman"/>
          <w:sz w:val="24"/>
          <w:szCs w:val="24"/>
          <w:lang w:val="es-ES_tradnl"/>
        </w:rPr>
      </w:pPr>
    </w:p>
    <w:p w:rsidR="00CB1117" w:rsidRPr="00764CFB" w:rsidRDefault="006C01B3"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B3" w:rsidRDefault="006C01B3" w:rsidP="00044DD7">
      <w:pPr>
        <w:spacing w:after="0" w:line="240" w:lineRule="auto"/>
      </w:pPr>
      <w:r>
        <w:separator/>
      </w:r>
    </w:p>
  </w:endnote>
  <w:endnote w:type="continuationSeparator" w:id="0">
    <w:p w:rsidR="006C01B3" w:rsidRDefault="006C01B3"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3A0138">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B3" w:rsidRDefault="006C01B3" w:rsidP="00044DD7">
      <w:pPr>
        <w:spacing w:after="0" w:line="240" w:lineRule="auto"/>
      </w:pPr>
      <w:r>
        <w:separator/>
      </w:r>
    </w:p>
  </w:footnote>
  <w:footnote w:type="continuationSeparator" w:id="0">
    <w:p w:rsidR="006C01B3" w:rsidRDefault="006C01B3"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6">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16"/>
  </w:num>
  <w:num w:numId="14">
    <w:abstractNumId w:val="18"/>
  </w:num>
  <w:num w:numId="15">
    <w:abstractNumId w:val="12"/>
  </w:num>
  <w:num w:numId="16">
    <w:abstractNumId w:val="10"/>
  </w:num>
  <w:num w:numId="17">
    <w:abstractNumId w:val="0"/>
  </w:num>
  <w:num w:numId="18">
    <w:abstractNumId w:val="1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1"/>
  </w:num>
  <w:num w:numId="25">
    <w:abstractNumId w:val="15"/>
  </w:num>
  <w:num w:numId="26">
    <w:abstractNumId w:val="6"/>
  </w:num>
  <w:num w:numId="27">
    <w:abstractNumId w:val="4"/>
  </w:num>
  <w:num w:numId="28">
    <w:abstractNumId w:val="5"/>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B0B37"/>
    <w:rsid w:val="006B6015"/>
    <w:rsid w:val="006B6C6E"/>
    <w:rsid w:val="006C01B3"/>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9CD2-4921-4B7C-839F-8FDF1CF6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4042</Words>
  <Characters>22233</Characters>
  <Application>Microsoft Office Word</Application>
  <DocSecurity>0</DocSecurity>
  <Lines>185</Lines>
  <Paragraphs>52</Paragraphs>
  <ScaleCrop>false</ScaleCrop>
  <Company>Microsoft</Company>
  <LinksUpToDate>false</LinksUpToDate>
  <CharactersWithSpaces>26223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250</cp:revision>
  <dcterms:created xsi:type="dcterms:W3CDTF">2019-01-14T11:30:00Z</dcterms:created>
  <dcterms:modified xsi:type="dcterms:W3CDTF">2020-09-23T14:17:00Z</dcterms:modified>
</cp:coreProperties>
</file>