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A3653B" w:rsidP="00CA196D">
      <w:pPr>
        <w:jc w:val="both"/>
        <w:rPr>
          <w:sz w:val="28"/>
          <w:szCs w:val="28"/>
          <w:lang w:val="es-MX"/>
        </w:rPr>
      </w:pPr>
      <w:r>
        <w:rPr>
          <w:sz w:val="28"/>
          <w:szCs w:val="28"/>
          <w:lang w:val="es-MX"/>
        </w:rPr>
        <w:pict>
          <v:rect id="_x0000_i1025" style="width:0;height:1.5pt" o:hralign="center" o:hrstd="t" o:hr="t" fillcolor="#a0a0a0" stroked="f"/>
        </w:pict>
      </w:r>
    </w:p>
    <w:p w:rsidR="005156A8" w:rsidRPr="00E908F2" w:rsidRDefault="005156A8" w:rsidP="005156A8">
      <w:pPr>
        <w:jc w:val="center"/>
        <w:rPr>
          <w:rFonts w:ascii="Arial" w:hAnsi="Arial" w:cs="Arial"/>
          <w:sz w:val="28"/>
          <w:szCs w:val="28"/>
          <w:u w:val="single"/>
        </w:rPr>
      </w:pPr>
      <w:r w:rsidRPr="008C122E">
        <w:rPr>
          <w:rFonts w:ascii="Arial" w:hAnsi="Arial" w:cs="Arial"/>
          <w:sz w:val="28"/>
          <w:szCs w:val="28"/>
          <w:u w:val="single"/>
        </w:rPr>
        <w:t xml:space="preserve">CONCURSO DE </w:t>
      </w:r>
      <w:r w:rsidRPr="00E908F2">
        <w:rPr>
          <w:rFonts w:ascii="Arial" w:hAnsi="Arial" w:cs="Arial"/>
          <w:sz w:val="28"/>
          <w:szCs w:val="28"/>
          <w:u w:val="single"/>
        </w:rPr>
        <w:t xml:space="preserve">PRECIOS  N° 06/20   </w:t>
      </w:r>
    </w:p>
    <w:p w:rsidR="005156A8" w:rsidRPr="00E908F2" w:rsidRDefault="005156A8" w:rsidP="005156A8">
      <w:pPr>
        <w:tabs>
          <w:tab w:val="left" w:pos="5610"/>
        </w:tabs>
        <w:jc w:val="center"/>
        <w:rPr>
          <w:rFonts w:ascii="Arial" w:hAnsi="Arial" w:cs="Arial"/>
          <w:sz w:val="28"/>
          <w:szCs w:val="28"/>
        </w:rPr>
      </w:pPr>
      <w:r w:rsidRPr="00E908F2">
        <w:rPr>
          <w:rFonts w:ascii="Arial" w:hAnsi="Arial" w:cs="Arial"/>
          <w:sz w:val="28"/>
          <w:szCs w:val="28"/>
        </w:rPr>
        <w:t xml:space="preserve">Expediente Nº 806-000808-2020/ </w:t>
      </w:r>
      <w:r w:rsidRPr="00E908F2">
        <w:rPr>
          <w:rFonts w:ascii="Arial" w:hAnsi="Arial" w:cs="Arial"/>
          <w:b/>
          <w:i/>
          <w:sz w:val="28"/>
          <w:szCs w:val="28"/>
        </w:rPr>
        <w:t>Rs.2206-MSP</w:t>
      </w:r>
      <w:r w:rsidRPr="00E908F2">
        <w:rPr>
          <w:rFonts w:ascii="Arial" w:hAnsi="Arial" w:cs="Arial"/>
          <w:sz w:val="28"/>
          <w:szCs w:val="28"/>
        </w:rPr>
        <w:t>-</w:t>
      </w:r>
      <w:r w:rsidRPr="00E908F2">
        <w:rPr>
          <w:rFonts w:ascii="Arial" w:hAnsi="Arial" w:cs="Arial"/>
          <w:b/>
          <w:sz w:val="28"/>
          <w:szCs w:val="28"/>
        </w:rPr>
        <w:t>2020</w:t>
      </w:r>
      <w:r w:rsidRPr="00E908F2">
        <w:rPr>
          <w:rFonts w:ascii="Arial" w:hAnsi="Arial" w:cs="Arial"/>
          <w:sz w:val="28"/>
          <w:szCs w:val="28"/>
        </w:rPr>
        <w:t xml:space="preserve">           </w:t>
      </w:r>
    </w:p>
    <w:p w:rsidR="005156A8" w:rsidRDefault="005156A8" w:rsidP="005156A8">
      <w:pPr>
        <w:contextualSpacing/>
        <w:jc w:val="both"/>
        <w:rPr>
          <w:rFonts w:cs="Times New Roman"/>
          <w:szCs w:val="24"/>
          <w:lang w:val="es-ES"/>
        </w:rPr>
      </w:pPr>
      <w:r w:rsidRPr="008C122E">
        <w:rPr>
          <w:rFonts w:ascii="Verdana" w:hAnsi="Verdana" w:cs="Arial"/>
          <w:sz w:val="20"/>
          <w:szCs w:val="20"/>
        </w:rPr>
        <w:t xml:space="preserve">                        A realizarse la apertura el día </w:t>
      </w:r>
      <w:r w:rsidRPr="00263052">
        <w:rPr>
          <w:rFonts w:ascii="Verdana" w:hAnsi="Verdana" w:cs="Arial"/>
          <w:b/>
          <w:sz w:val="20"/>
          <w:szCs w:val="20"/>
          <w:lang w:eastAsia="es-ES"/>
        </w:rPr>
        <w:t>Lunes 22 (veintidós)</w:t>
      </w:r>
      <w:r>
        <w:rPr>
          <w:rFonts w:ascii="Verdana" w:hAnsi="Verdana" w:cs="Arial"/>
          <w:b/>
          <w:sz w:val="20"/>
          <w:szCs w:val="20"/>
          <w:lang w:eastAsia="es-ES"/>
        </w:rPr>
        <w:t xml:space="preserve"> </w:t>
      </w:r>
      <w:r w:rsidRPr="00E908F2">
        <w:rPr>
          <w:rFonts w:ascii="Verdana" w:hAnsi="Verdana" w:cs="Arial"/>
          <w:b/>
          <w:sz w:val="20"/>
          <w:szCs w:val="20"/>
          <w:lang w:eastAsia="es-ES"/>
        </w:rPr>
        <w:t>de Junio del 2.020</w:t>
      </w:r>
      <w:r w:rsidRPr="00E908F2">
        <w:rPr>
          <w:rFonts w:ascii="Verdana" w:hAnsi="Verdana" w:cs="Arial"/>
          <w:sz w:val="20"/>
          <w:szCs w:val="20"/>
          <w:lang w:eastAsia="es-ES"/>
        </w:rPr>
        <w:t xml:space="preserve"> </w:t>
      </w:r>
      <w:r w:rsidRPr="00E908F2">
        <w:rPr>
          <w:rFonts w:ascii="Verdana" w:hAnsi="Verdana" w:cs="Arial"/>
          <w:b/>
          <w:sz w:val="20"/>
          <w:szCs w:val="20"/>
          <w:lang w:eastAsia="es-ES"/>
        </w:rPr>
        <w:t>y  la recepción de sobres hasta las 09:00 horas en la oficina de Departamento Compras</w:t>
      </w:r>
      <w:r w:rsidRPr="00E908F2">
        <w:rPr>
          <w:rFonts w:ascii="Verdana" w:hAnsi="Verdana" w:cs="Arial"/>
          <w:sz w:val="20"/>
          <w:szCs w:val="20"/>
        </w:rPr>
        <w:t xml:space="preserve">, para la adquisición de muebles, con destino al Área Programática Iglesia (Centro de Atención Primaria </w:t>
      </w:r>
      <w:r w:rsidRPr="006C5FBC">
        <w:rPr>
          <w:rFonts w:ascii="Verdana" w:hAnsi="Verdana" w:cs="Arial"/>
          <w:sz w:val="20"/>
          <w:szCs w:val="20"/>
        </w:rPr>
        <w:t xml:space="preserve">de la Salud </w:t>
      </w:r>
      <w:proofErr w:type="spellStart"/>
      <w:r w:rsidRPr="006C5FBC">
        <w:rPr>
          <w:rFonts w:ascii="Verdana" w:hAnsi="Verdana" w:cs="Arial"/>
          <w:sz w:val="20"/>
          <w:szCs w:val="20"/>
        </w:rPr>
        <w:t>Tudcum</w:t>
      </w:r>
      <w:proofErr w:type="spellEnd"/>
      <w:r w:rsidRPr="006C5FBC">
        <w:rPr>
          <w:rFonts w:ascii="Verdana" w:hAnsi="Verdana" w:cs="Arial"/>
          <w:sz w:val="20"/>
          <w:szCs w:val="20"/>
        </w:rPr>
        <w:t xml:space="preserve">, Villa Iglesia, </w:t>
      </w:r>
      <w:proofErr w:type="spellStart"/>
      <w:r w:rsidRPr="006C5FBC">
        <w:rPr>
          <w:rFonts w:ascii="Verdana" w:hAnsi="Verdana" w:cs="Arial"/>
          <w:sz w:val="20"/>
          <w:szCs w:val="20"/>
        </w:rPr>
        <w:t>Colola</w:t>
      </w:r>
      <w:proofErr w:type="spellEnd"/>
      <w:r w:rsidRPr="006C5FBC">
        <w:rPr>
          <w:rFonts w:ascii="Verdana" w:hAnsi="Verdana" w:cs="Arial"/>
          <w:sz w:val="20"/>
          <w:szCs w:val="20"/>
        </w:rPr>
        <w:t xml:space="preserve"> y </w:t>
      </w:r>
      <w:proofErr w:type="spellStart"/>
      <w:r w:rsidRPr="006C5FBC">
        <w:rPr>
          <w:rFonts w:ascii="Verdana" w:hAnsi="Verdana" w:cs="Arial"/>
          <w:sz w:val="20"/>
          <w:szCs w:val="20"/>
        </w:rPr>
        <w:t>Angualasto</w:t>
      </w:r>
      <w:proofErr w:type="spellEnd"/>
      <w:r w:rsidRPr="006C5FBC">
        <w:rPr>
          <w:rFonts w:ascii="Verdana" w:hAnsi="Verdana" w:cs="Arial"/>
          <w:sz w:val="20"/>
          <w:szCs w:val="20"/>
        </w:rPr>
        <w:t>), dependiente del Ministerio de Salud Pública.</w:t>
      </w:r>
    </w:p>
    <w:p w:rsidR="005156A8" w:rsidRPr="008E7F6C" w:rsidRDefault="005156A8" w:rsidP="005156A8">
      <w:pPr>
        <w:jc w:val="both"/>
        <w:rPr>
          <w:rFonts w:ascii="Verdana" w:hAnsi="Verdana" w:cs="Arial"/>
          <w:sz w:val="20"/>
          <w:szCs w:val="20"/>
        </w:rPr>
      </w:pPr>
      <w:r w:rsidRPr="002C6F7F">
        <w:rPr>
          <w:rFonts w:ascii="Arial" w:hAnsi="Arial" w:cs="Arial"/>
        </w:rPr>
        <w:tab/>
      </w:r>
      <w:r>
        <w:t xml:space="preserve">                  </w:t>
      </w:r>
      <w:r w:rsidRPr="008E7F6C">
        <w:rPr>
          <w:rFonts w:ascii="Verdana" w:hAnsi="Verdana" w:cs="Arial"/>
          <w:sz w:val="20"/>
          <w:szCs w:val="20"/>
        </w:rPr>
        <w:t>Si el día fijado para la apertura, resultare no laborable, se efectuará el primer día hábil siguiente, a</w:t>
      </w:r>
      <w:r>
        <w:rPr>
          <w:rFonts w:ascii="Verdana" w:hAnsi="Verdana" w:cs="Arial"/>
          <w:sz w:val="20"/>
          <w:szCs w:val="20"/>
        </w:rPr>
        <w:t xml:space="preserve"> la misma hora.</w:t>
      </w:r>
    </w:p>
    <w:p w:rsidR="005156A8" w:rsidRDefault="005156A8" w:rsidP="005156A8">
      <w:pPr>
        <w:pStyle w:val="Sangranormal"/>
        <w:tabs>
          <w:tab w:val="left" w:pos="1200"/>
          <w:tab w:val="left" w:pos="1680"/>
        </w:tabs>
        <w:ind w:left="0"/>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División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5156A8" w:rsidRDefault="005156A8" w:rsidP="005156A8">
      <w:pPr>
        <w:pStyle w:val="Sangranormal"/>
        <w:tabs>
          <w:tab w:val="left" w:pos="1200"/>
          <w:tab w:val="left" w:pos="1680"/>
        </w:tabs>
        <w:ind w:left="0"/>
        <w:jc w:val="both"/>
        <w:rPr>
          <w:rFonts w:ascii="Verdana" w:hAnsi="Verdana" w:cs="Arial"/>
          <w:b/>
          <w:sz w:val="20"/>
          <w:szCs w:val="20"/>
          <w:u w:val="single"/>
        </w:rPr>
      </w:pPr>
    </w:p>
    <w:tbl>
      <w:tblPr>
        <w:tblStyle w:val="Tablaconcuadrcula"/>
        <w:tblW w:w="9923" w:type="dxa"/>
        <w:tblInd w:w="108" w:type="dxa"/>
        <w:tblLayout w:type="fixed"/>
        <w:tblLook w:val="04A0" w:firstRow="1" w:lastRow="0" w:firstColumn="1" w:lastColumn="0" w:noHBand="0" w:noVBand="1"/>
      </w:tblPr>
      <w:tblGrid>
        <w:gridCol w:w="851"/>
        <w:gridCol w:w="7654"/>
        <w:gridCol w:w="1418"/>
      </w:tblGrid>
      <w:tr w:rsidR="005156A8" w:rsidTr="008B766A">
        <w:trPr>
          <w:trHeight w:val="409"/>
        </w:trPr>
        <w:tc>
          <w:tcPr>
            <w:tcW w:w="851" w:type="dxa"/>
            <w:vAlign w:val="center"/>
            <w:hideMark/>
          </w:tcPr>
          <w:p w:rsidR="005156A8" w:rsidRPr="004323D2" w:rsidRDefault="005156A8" w:rsidP="008B766A">
            <w:pPr>
              <w:pStyle w:val="Textogeneral"/>
              <w:jc w:val="center"/>
            </w:pPr>
            <w:proofErr w:type="spellStart"/>
            <w:r w:rsidRPr="004323D2">
              <w:t>Reng</w:t>
            </w:r>
            <w:proofErr w:type="spellEnd"/>
            <w:r>
              <w:t>.</w:t>
            </w:r>
          </w:p>
        </w:tc>
        <w:tc>
          <w:tcPr>
            <w:tcW w:w="7654" w:type="dxa"/>
            <w:vAlign w:val="center"/>
            <w:hideMark/>
          </w:tcPr>
          <w:p w:rsidR="005156A8" w:rsidRPr="004323D2" w:rsidRDefault="005156A8" w:rsidP="008B766A">
            <w:pPr>
              <w:pStyle w:val="Textogeneral"/>
              <w:jc w:val="center"/>
            </w:pPr>
            <w:r w:rsidRPr="004323D2">
              <w:t>Detalle</w:t>
            </w:r>
          </w:p>
        </w:tc>
        <w:tc>
          <w:tcPr>
            <w:tcW w:w="1418" w:type="dxa"/>
            <w:vAlign w:val="center"/>
          </w:tcPr>
          <w:p w:rsidR="005156A8" w:rsidRDefault="005156A8" w:rsidP="008B766A">
            <w:pPr>
              <w:pStyle w:val="Textogeneral"/>
              <w:jc w:val="center"/>
            </w:pPr>
            <w:r>
              <w:t>Cantidad</w:t>
            </w:r>
          </w:p>
        </w:tc>
      </w:tr>
      <w:tr w:rsidR="005156A8" w:rsidTr="008B766A">
        <w:trPr>
          <w:trHeight w:val="409"/>
        </w:trPr>
        <w:tc>
          <w:tcPr>
            <w:tcW w:w="851" w:type="dxa"/>
            <w:vAlign w:val="center"/>
            <w:hideMark/>
          </w:tcPr>
          <w:p w:rsidR="005156A8" w:rsidRPr="004323D2" w:rsidRDefault="005156A8" w:rsidP="008B766A">
            <w:pPr>
              <w:pStyle w:val="Textogeneral"/>
              <w:jc w:val="center"/>
            </w:pPr>
            <w:r>
              <w:t>1</w:t>
            </w:r>
          </w:p>
        </w:tc>
        <w:tc>
          <w:tcPr>
            <w:tcW w:w="7654" w:type="dxa"/>
            <w:vAlign w:val="center"/>
            <w:hideMark/>
          </w:tcPr>
          <w:p w:rsidR="005156A8" w:rsidRPr="00BC66BE" w:rsidRDefault="005156A8" w:rsidP="008B766A">
            <w:pPr>
              <w:pStyle w:val="Textogeneral"/>
              <w:jc w:val="center"/>
            </w:pPr>
            <w:r w:rsidRPr="00BC66BE">
              <w:t>Sillas estructuras metálicas tapizad</w:t>
            </w:r>
            <w:r>
              <w:t>o</w:t>
            </w:r>
            <w:r w:rsidRPr="00BC66BE">
              <w:t>s e</w:t>
            </w:r>
            <w:r>
              <w:t xml:space="preserve">n </w:t>
            </w:r>
            <w:proofErr w:type="spellStart"/>
            <w:r>
              <w:t>ecocuero</w:t>
            </w:r>
            <w:proofErr w:type="spellEnd"/>
            <w:r>
              <w:t xml:space="preserve"> color a definir. Apilable de 4 patas sin apoyabrazos.</w:t>
            </w:r>
          </w:p>
        </w:tc>
        <w:tc>
          <w:tcPr>
            <w:tcW w:w="1418" w:type="dxa"/>
            <w:vAlign w:val="center"/>
          </w:tcPr>
          <w:p w:rsidR="005156A8" w:rsidRDefault="005156A8" w:rsidP="008B766A">
            <w:pPr>
              <w:pStyle w:val="Textogeneral"/>
              <w:jc w:val="center"/>
            </w:pPr>
            <w:r>
              <w:t>7</w:t>
            </w:r>
          </w:p>
        </w:tc>
      </w:tr>
      <w:tr w:rsidR="005156A8" w:rsidTr="008B766A">
        <w:trPr>
          <w:trHeight w:val="409"/>
        </w:trPr>
        <w:tc>
          <w:tcPr>
            <w:tcW w:w="851" w:type="dxa"/>
            <w:vAlign w:val="center"/>
          </w:tcPr>
          <w:p w:rsidR="005156A8" w:rsidRDefault="005156A8" w:rsidP="008B766A">
            <w:pPr>
              <w:pStyle w:val="Textogeneral"/>
              <w:jc w:val="center"/>
            </w:pPr>
            <w:r>
              <w:t>2</w:t>
            </w:r>
          </w:p>
        </w:tc>
        <w:tc>
          <w:tcPr>
            <w:tcW w:w="7654" w:type="dxa"/>
            <w:vAlign w:val="center"/>
          </w:tcPr>
          <w:p w:rsidR="005156A8" w:rsidRPr="00BC66BE" w:rsidRDefault="005156A8" w:rsidP="008B766A">
            <w:pPr>
              <w:pStyle w:val="Textogeneral"/>
              <w:jc w:val="center"/>
            </w:pPr>
            <w:proofErr w:type="spellStart"/>
            <w:r w:rsidRPr="00BC66BE">
              <w:t>Tandem</w:t>
            </w:r>
            <w:proofErr w:type="spellEnd"/>
            <w:r w:rsidRPr="00BC66BE">
              <w:t xml:space="preserve"> en PVC de 3 a</w:t>
            </w:r>
            <w:r>
              <w:t>sientos, sin apoyabrazos color a definir.</w:t>
            </w:r>
          </w:p>
        </w:tc>
        <w:tc>
          <w:tcPr>
            <w:tcW w:w="1418" w:type="dxa"/>
            <w:vAlign w:val="center"/>
          </w:tcPr>
          <w:p w:rsidR="005156A8" w:rsidRDefault="005156A8" w:rsidP="008B766A">
            <w:pPr>
              <w:pStyle w:val="Textogeneral"/>
              <w:jc w:val="center"/>
            </w:pPr>
            <w:r>
              <w:t>2</w:t>
            </w:r>
          </w:p>
        </w:tc>
      </w:tr>
      <w:tr w:rsidR="005156A8" w:rsidTr="008B766A">
        <w:trPr>
          <w:trHeight w:val="409"/>
        </w:trPr>
        <w:tc>
          <w:tcPr>
            <w:tcW w:w="851" w:type="dxa"/>
            <w:vAlign w:val="center"/>
          </w:tcPr>
          <w:p w:rsidR="005156A8" w:rsidRDefault="005156A8" w:rsidP="008B766A">
            <w:pPr>
              <w:pStyle w:val="Textogeneral"/>
              <w:jc w:val="center"/>
            </w:pPr>
            <w:r>
              <w:t>3</w:t>
            </w:r>
          </w:p>
        </w:tc>
        <w:tc>
          <w:tcPr>
            <w:tcW w:w="7654" w:type="dxa"/>
            <w:vAlign w:val="center"/>
          </w:tcPr>
          <w:p w:rsidR="005156A8" w:rsidRPr="00BC66BE" w:rsidRDefault="005156A8" w:rsidP="008B766A">
            <w:pPr>
              <w:pStyle w:val="Textogeneral"/>
              <w:jc w:val="center"/>
            </w:pPr>
            <w:r w:rsidRPr="00BC66BE">
              <w:t>Escritorios para computadora con b</w:t>
            </w:r>
            <w:r>
              <w:t>andeja deslizable de 1,00m x 0,60m de 0,74m de altura, con dos cajones con cerradura.</w:t>
            </w:r>
          </w:p>
        </w:tc>
        <w:tc>
          <w:tcPr>
            <w:tcW w:w="1418" w:type="dxa"/>
            <w:vAlign w:val="center"/>
          </w:tcPr>
          <w:p w:rsidR="005156A8" w:rsidRDefault="005156A8" w:rsidP="008B766A">
            <w:pPr>
              <w:pStyle w:val="Textogeneral"/>
              <w:jc w:val="center"/>
            </w:pPr>
            <w:r>
              <w:t>6</w:t>
            </w:r>
          </w:p>
        </w:tc>
      </w:tr>
      <w:tr w:rsidR="005156A8" w:rsidTr="008B766A">
        <w:trPr>
          <w:trHeight w:val="409"/>
        </w:trPr>
        <w:tc>
          <w:tcPr>
            <w:tcW w:w="851" w:type="dxa"/>
            <w:vAlign w:val="center"/>
          </w:tcPr>
          <w:p w:rsidR="005156A8" w:rsidRDefault="005156A8" w:rsidP="008B766A">
            <w:pPr>
              <w:pStyle w:val="Textogeneral"/>
              <w:jc w:val="center"/>
            </w:pPr>
            <w:r>
              <w:t>4</w:t>
            </w:r>
          </w:p>
        </w:tc>
        <w:tc>
          <w:tcPr>
            <w:tcW w:w="7654" w:type="dxa"/>
            <w:vAlign w:val="center"/>
          </w:tcPr>
          <w:p w:rsidR="005156A8" w:rsidRPr="008D19E4" w:rsidRDefault="005156A8" w:rsidP="008B766A">
            <w:pPr>
              <w:pStyle w:val="Textogeneral"/>
              <w:jc w:val="center"/>
            </w:pPr>
            <w:r w:rsidRPr="008A2FFE">
              <w:t>Ficheros metálicos</w:t>
            </w:r>
            <w:r>
              <w:t xml:space="preserve"> con cierre colectivo de 4 cajones 1,34m de altura y 0,46m x 0,70m.</w:t>
            </w:r>
            <w:r w:rsidRPr="008D19E4">
              <w:t xml:space="preserve"> </w:t>
            </w:r>
          </w:p>
        </w:tc>
        <w:tc>
          <w:tcPr>
            <w:tcW w:w="1418" w:type="dxa"/>
            <w:vAlign w:val="center"/>
          </w:tcPr>
          <w:p w:rsidR="005156A8" w:rsidRDefault="005156A8" w:rsidP="008B766A">
            <w:pPr>
              <w:pStyle w:val="Textogeneral"/>
              <w:jc w:val="center"/>
            </w:pPr>
            <w:r>
              <w:t>4</w:t>
            </w:r>
          </w:p>
        </w:tc>
      </w:tr>
    </w:tbl>
    <w:p w:rsidR="005156A8" w:rsidRDefault="005156A8" w:rsidP="005156A8">
      <w:pPr>
        <w:spacing w:after="0" w:line="240" w:lineRule="auto"/>
        <w:jc w:val="center"/>
        <w:rPr>
          <w:rFonts w:ascii="Times New Roman" w:eastAsia="Times New Roman" w:hAnsi="Times New Roman" w:cs="Times New Roman"/>
          <w:b/>
          <w:sz w:val="24"/>
          <w:szCs w:val="24"/>
          <w:lang w:val="es-ES" w:eastAsia="es-ES"/>
        </w:rPr>
      </w:pPr>
    </w:p>
    <w:p w:rsidR="005156A8" w:rsidRPr="00AA2D5B" w:rsidRDefault="005156A8" w:rsidP="005156A8">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ANEXO I </w:t>
      </w:r>
    </w:p>
    <w:p w:rsidR="005156A8" w:rsidRDefault="005156A8" w:rsidP="005156A8">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Clausulas particulares para </w:t>
      </w:r>
      <w:r>
        <w:rPr>
          <w:rFonts w:ascii="Times New Roman" w:eastAsia="Times New Roman" w:hAnsi="Times New Roman" w:cs="Times New Roman"/>
          <w:b/>
          <w:sz w:val="24"/>
          <w:szCs w:val="24"/>
          <w:lang w:val="es-ES" w:eastAsia="es-ES"/>
        </w:rPr>
        <w:t>la compra de muebles.</w:t>
      </w:r>
    </w:p>
    <w:p w:rsidR="005156A8" w:rsidRPr="00AA2D5B" w:rsidRDefault="005156A8" w:rsidP="005156A8">
      <w:pPr>
        <w:spacing w:after="0" w:line="240" w:lineRule="auto"/>
        <w:jc w:val="center"/>
        <w:rPr>
          <w:rFonts w:ascii="Times New Roman" w:eastAsia="Times New Roman" w:hAnsi="Times New Roman" w:cs="Times New Roman"/>
          <w:b/>
          <w:sz w:val="24"/>
          <w:szCs w:val="24"/>
          <w:lang w:val="es-ES" w:eastAsia="es-ES"/>
        </w:rPr>
      </w:pPr>
    </w:p>
    <w:p w:rsidR="005156A8" w:rsidRPr="00C76663" w:rsidRDefault="005156A8" w:rsidP="005156A8">
      <w:pPr>
        <w:rPr>
          <w:rFonts w:ascii="Times New Roman" w:eastAsia="Times New Roman" w:hAnsi="Times New Roman" w:cs="Times New Roman"/>
          <w:sz w:val="24"/>
          <w:szCs w:val="24"/>
          <w:lang w:val="es-ES" w:eastAsia="es-ES"/>
        </w:rPr>
      </w:pPr>
      <w:r w:rsidRPr="00005E92">
        <w:rPr>
          <w:rFonts w:ascii="Times New Roman" w:eastAsia="Times New Roman" w:hAnsi="Times New Roman" w:cs="Times New Roman"/>
          <w:sz w:val="24"/>
          <w:szCs w:val="24"/>
          <w:lang w:val="es-ES" w:eastAsia="es-ES"/>
        </w:rPr>
        <w:t xml:space="preserve">PROCESO: </w:t>
      </w:r>
      <w:r w:rsidRPr="00C76663">
        <w:rPr>
          <w:rFonts w:ascii="Times New Roman" w:eastAsia="Times New Roman" w:hAnsi="Times New Roman" w:cs="Times New Roman"/>
          <w:sz w:val="24"/>
          <w:szCs w:val="24"/>
          <w:lang w:val="es-ES" w:eastAsia="es-ES"/>
        </w:rPr>
        <w:t>Concurso de Precios N° 06/20.</w:t>
      </w:r>
    </w:p>
    <w:p w:rsidR="005156A8" w:rsidRPr="00C76663" w:rsidRDefault="005156A8" w:rsidP="005156A8">
      <w:pPr>
        <w:rPr>
          <w:rFonts w:ascii="Times New Roman" w:eastAsia="Times New Roman" w:hAnsi="Times New Roman" w:cs="Times New Roman"/>
          <w:sz w:val="24"/>
          <w:szCs w:val="24"/>
          <w:lang w:val="es-ES" w:eastAsia="es-ES"/>
        </w:rPr>
      </w:pPr>
      <w:r w:rsidRPr="00C76663">
        <w:rPr>
          <w:rFonts w:ascii="Times New Roman" w:eastAsia="Times New Roman" w:hAnsi="Times New Roman" w:cs="Times New Roman"/>
          <w:sz w:val="24"/>
          <w:szCs w:val="24"/>
          <w:lang w:val="es-ES" w:eastAsia="es-ES"/>
        </w:rPr>
        <w:t>EXPEDIENTE: 806-000808-2019.</w:t>
      </w:r>
    </w:p>
    <w:p w:rsidR="005156A8" w:rsidRPr="00C76663" w:rsidRDefault="005156A8" w:rsidP="005156A8">
      <w:pPr>
        <w:jc w:val="both"/>
        <w:rPr>
          <w:rFonts w:ascii="Times New Roman" w:eastAsia="Times New Roman" w:hAnsi="Times New Roman" w:cs="Times New Roman"/>
          <w:sz w:val="24"/>
          <w:szCs w:val="24"/>
          <w:lang w:val="es-ES" w:eastAsia="es-ES"/>
        </w:rPr>
      </w:pPr>
      <w:r w:rsidRPr="00C76663">
        <w:rPr>
          <w:rFonts w:ascii="Times New Roman" w:eastAsia="Times New Roman" w:hAnsi="Times New Roman" w:cs="Times New Roman"/>
          <w:sz w:val="24"/>
          <w:szCs w:val="24"/>
          <w:lang w:val="es-ES" w:eastAsia="es-ES"/>
        </w:rPr>
        <w:t xml:space="preserve">OBJETO: </w:t>
      </w:r>
      <w:r w:rsidRPr="00C76663">
        <w:rPr>
          <w:rFonts w:ascii="Times New Roman" w:hAnsi="Times New Roman" w:cs="Times New Roman"/>
          <w:sz w:val="24"/>
          <w:szCs w:val="24"/>
          <w:lang w:val="es-ES"/>
        </w:rPr>
        <w:t xml:space="preserve">Compra de </w:t>
      </w:r>
      <w:r>
        <w:rPr>
          <w:rFonts w:ascii="Times New Roman" w:hAnsi="Times New Roman" w:cs="Times New Roman"/>
          <w:sz w:val="24"/>
          <w:szCs w:val="24"/>
          <w:lang w:val="es-ES"/>
        </w:rPr>
        <w:t>muebles</w:t>
      </w:r>
      <w:r w:rsidRPr="00C76663">
        <w:rPr>
          <w:rFonts w:ascii="Times New Roman" w:hAnsi="Times New Roman" w:cs="Times New Roman"/>
          <w:sz w:val="24"/>
          <w:szCs w:val="24"/>
          <w:lang w:val="es-ES"/>
        </w:rPr>
        <w:t xml:space="preserve">, con destino al Área Programática Iglesia (Centro de Atención Primaria de la Salud </w:t>
      </w:r>
      <w:proofErr w:type="spellStart"/>
      <w:r w:rsidRPr="00C76663">
        <w:rPr>
          <w:rFonts w:ascii="Times New Roman" w:hAnsi="Times New Roman" w:cs="Times New Roman"/>
          <w:sz w:val="24"/>
          <w:szCs w:val="24"/>
          <w:lang w:val="es-ES"/>
        </w:rPr>
        <w:t>Tudcum</w:t>
      </w:r>
      <w:proofErr w:type="spellEnd"/>
      <w:r w:rsidRPr="00C76663">
        <w:rPr>
          <w:rFonts w:ascii="Times New Roman" w:hAnsi="Times New Roman" w:cs="Times New Roman"/>
          <w:sz w:val="24"/>
          <w:szCs w:val="24"/>
          <w:lang w:val="es-ES"/>
        </w:rPr>
        <w:t xml:space="preserve">, Villa Iglesia, </w:t>
      </w:r>
      <w:proofErr w:type="spellStart"/>
      <w:r w:rsidRPr="00C76663">
        <w:rPr>
          <w:rFonts w:ascii="Times New Roman" w:hAnsi="Times New Roman" w:cs="Times New Roman"/>
          <w:sz w:val="24"/>
          <w:szCs w:val="24"/>
          <w:lang w:val="es-ES"/>
        </w:rPr>
        <w:t>Colola</w:t>
      </w:r>
      <w:proofErr w:type="spellEnd"/>
      <w:r w:rsidRPr="00C76663">
        <w:rPr>
          <w:rFonts w:ascii="Times New Roman" w:hAnsi="Times New Roman" w:cs="Times New Roman"/>
          <w:sz w:val="24"/>
          <w:szCs w:val="24"/>
          <w:lang w:val="es-ES"/>
        </w:rPr>
        <w:t xml:space="preserve"> y </w:t>
      </w:r>
      <w:proofErr w:type="spellStart"/>
      <w:r w:rsidRPr="00C76663">
        <w:rPr>
          <w:rFonts w:ascii="Times New Roman" w:hAnsi="Times New Roman" w:cs="Times New Roman"/>
          <w:sz w:val="24"/>
          <w:szCs w:val="24"/>
          <w:lang w:val="es-ES"/>
        </w:rPr>
        <w:t>Angualasto</w:t>
      </w:r>
      <w:proofErr w:type="spellEnd"/>
      <w:r w:rsidRPr="00C76663">
        <w:rPr>
          <w:rFonts w:ascii="Times New Roman" w:hAnsi="Times New Roman" w:cs="Times New Roman"/>
          <w:sz w:val="24"/>
          <w:szCs w:val="24"/>
          <w:lang w:val="es-ES"/>
        </w:rPr>
        <w:t>), dependiente del Ministerio de Salud Pública</w:t>
      </w:r>
      <w:r w:rsidRPr="00C76663">
        <w:rPr>
          <w:rFonts w:ascii="Times New Roman" w:eastAsia="Times New Roman" w:hAnsi="Times New Roman" w:cs="Times New Roman"/>
          <w:sz w:val="24"/>
          <w:szCs w:val="24"/>
          <w:lang w:val="es-ES" w:eastAsia="es-ES"/>
        </w:rPr>
        <w:t>.</w:t>
      </w:r>
    </w:p>
    <w:p w:rsidR="005156A8" w:rsidRPr="001A6152" w:rsidRDefault="005156A8" w:rsidP="005156A8">
      <w:pPr>
        <w:jc w:val="both"/>
        <w:rPr>
          <w:rFonts w:ascii="Times New Roman" w:eastAsia="Times New Roman" w:hAnsi="Times New Roman" w:cs="Times New Roman"/>
          <w:sz w:val="24"/>
          <w:szCs w:val="24"/>
          <w:lang w:val="es-ES" w:eastAsia="es-ES"/>
        </w:rPr>
      </w:pPr>
      <w:r w:rsidRPr="001A6152">
        <w:rPr>
          <w:rFonts w:ascii="Times New Roman" w:eastAsia="Times New Roman" w:hAnsi="Times New Roman" w:cs="Times New Roman"/>
          <w:sz w:val="24"/>
          <w:szCs w:val="24"/>
          <w:lang w:val="es-ES" w:eastAsia="es-ES"/>
        </w:rPr>
        <w:t>VALOR DEL PLIEGO: $ 500,00.-  (Pesos Quinientos con 00/100.-).</w:t>
      </w:r>
    </w:p>
    <w:p w:rsidR="005156A8" w:rsidRPr="001A6152" w:rsidRDefault="005156A8" w:rsidP="005156A8">
      <w:pPr>
        <w:jc w:val="both"/>
        <w:rPr>
          <w:rFonts w:ascii="Times New Roman" w:eastAsia="Times New Roman" w:hAnsi="Times New Roman" w:cs="Times New Roman"/>
          <w:sz w:val="24"/>
          <w:szCs w:val="24"/>
          <w:lang w:val="es-ES" w:eastAsia="es-ES"/>
        </w:rPr>
      </w:pPr>
      <w:r w:rsidRPr="001A6152">
        <w:rPr>
          <w:rFonts w:ascii="Times New Roman" w:eastAsia="Times New Roman" w:hAnsi="Times New Roman" w:cs="Times New Roman"/>
          <w:sz w:val="24"/>
          <w:szCs w:val="24"/>
          <w:lang w:val="es-ES" w:eastAsia="es-ES"/>
        </w:rPr>
        <w:t>CÓDIGO SUGERIDO DE ACTIVIDAD: 310010 – 465610 – 475410.</w:t>
      </w:r>
    </w:p>
    <w:p w:rsidR="005156A8" w:rsidRPr="00AA2D5B" w:rsidRDefault="005156A8" w:rsidP="005156A8">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5156A8" w:rsidRPr="006D6B2D" w:rsidRDefault="005156A8" w:rsidP="005156A8">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5156A8" w:rsidRDefault="005156A8" w:rsidP="005156A8">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w:t>
      </w:r>
      <w:r w:rsidRPr="00E12E66">
        <w:rPr>
          <w:rFonts w:ascii="Times New Roman" w:hAnsi="Times New Roman" w:cs="Times New Roman"/>
          <w:bCs/>
          <w:sz w:val="24"/>
          <w:szCs w:val="24"/>
          <w:lang w:val="es-ES_tradnl"/>
        </w:rPr>
        <w:lastRenderedPageBreak/>
        <w:t>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5156A8" w:rsidRPr="00E12E66" w:rsidRDefault="005156A8" w:rsidP="005156A8">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156A8" w:rsidRPr="00E12E66" w:rsidRDefault="005156A8" w:rsidP="005156A8">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5156A8" w:rsidRPr="00E12E66" w:rsidRDefault="005156A8" w:rsidP="005156A8">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5156A8" w:rsidRPr="00090C8C" w:rsidRDefault="005156A8" w:rsidP="005156A8">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5156A8" w:rsidRPr="00E12E66" w:rsidRDefault="005156A8" w:rsidP="005156A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5156A8" w:rsidRPr="00E12E66" w:rsidRDefault="005156A8" w:rsidP="005156A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5156A8" w:rsidRPr="00E12E66" w:rsidRDefault="005156A8" w:rsidP="005156A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5156A8" w:rsidRPr="00E12E66" w:rsidRDefault="005156A8" w:rsidP="005156A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5156A8" w:rsidRPr="00E12E66" w:rsidRDefault="005156A8" w:rsidP="005156A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5156A8" w:rsidRPr="00E12E66" w:rsidRDefault="005156A8" w:rsidP="005156A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w:t>
      </w:r>
      <w:r w:rsidRPr="00E12E66">
        <w:rPr>
          <w:rFonts w:ascii="Times New Roman" w:hAnsi="Times New Roman" w:cs="Times New Roman"/>
          <w:bCs/>
          <w:sz w:val="24"/>
          <w:szCs w:val="24"/>
          <w:lang w:val="es-ES_tradnl"/>
        </w:rPr>
        <w:lastRenderedPageBreak/>
        <w:t xml:space="preserve">de Asamblea, del Acta de Reunión de socios o Poder, según corresponda, que lo habilita para presentarse. </w:t>
      </w:r>
    </w:p>
    <w:p w:rsidR="005156A8" w:rsidRPr="00E12E66" w:rsidRDefault="005156A8" w:rsidP="005156A8">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5156A8" w:rsidRDefault="005156A8" w:rsidP="005156A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5156A8" w:rsidRPr="00593911" w:rsidRDefault="005156A8" w:rsidP="005156A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5156A8" w:rsidRDefault="005156A8" w:rsidP="005156A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5156A8" w:rsidRDefault="005156A8" w:rsidP="005156A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5156A8" w:rsidRPr="009B610F" w:rsidRDefault="005156A8" w:rsidP="005156A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5156A8" w:rsidRPr="009B610F"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156A8" w:rsidRPr="009B610F"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5156A8" w:rsidRPr="009B610F"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5156A8"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5156A8" w:rsidRDefault="005156A8" w:rsidP="005156A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5156A8" w:rsidRDefault="005156A8" w:rsidP="005156A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5156A8" w:rsidRDefault="005156A8" w:rsidP="005156A8">
      <w:pPr>
        <w:pStyle w:val="NormalWeb"/>
        <w:spacing w:before="0" w:beforeAutospacing="0" w:after="0" w:line="276" w:lineRule="auto"/>
        <w:jc w:val="both"/>
        <w:rPr>
          <w:rFonts w:eastAsiaTheme="minorHAnsi"/>
          <w:bCs/>
          <w:lang w:val="es-ES_tradnl" w:eastAsia="en-US"/>
        </w:rPr>
      </w:pPr>
    </w:p>
    <w:p w:rsidR="005156A8" w:rsidRDefault="005156A8" w:rsidP="005156A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5156A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5156A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5156A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La agencia/compañía de seguro debe estar establecida en la Provincia de San Juan.</w:t>
      </w:r>
    </w:p>
    <w:p w:rsidR="005156A8" w:rsidRDefault="005156A8" w:rsidP="005156A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5156A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5156A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5156A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5156A8" w:rsidRPr="00605C88" w:rsidRDefault="005156A8" w:rsidP="005156A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156A8" w:rsidRPr="00E12E66" w:rsidRDefault="005156A8" w:rsidP="005156A8">
      <w:pPr>
        <w:suppressAutoHyphens/>
        <w:spacing w:after="120" w:line="240" w:lineRule="auto"/>
        <w:ind w:left="851"/>
        <w:jc w:val="both"/>
        <w:rPr>
          <w:rFonts w:ascii="Times New Roman" w:hAnsi="Times New Roman" w:cs="Times New Roman"/>
          <w:bCs/>
          <w:sz w:val="24"/>
          <w:szCs w:val="24"/>
          <w:lang w:val="es-ES_tradnl"/>
        </w:rPr>
      </w:pPr>
    </w:p>
    <w:p w:rsidR="005156A8" w:rsidRPr="00E12E66" w:rsidRDefault="005156A8" w:rsidP="005156A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5156A8" w:rsidRPr="00E12E66" w:rsidRDefault="005156A8" w:rsidP="005156A8">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5156A8" w:rsidRPr="00E12E66" w:rsidRDefault="005156A8" w:rsidP="005156A8">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5156A8" w:rsidRPr="001A6152" w:rsidRDefault="005156A8" w:rsidP="005156A8">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w:t>
      </w:r>
      <w:r w:rsidRPr="001A6152">
        <w:rPr>
          <w:rFonts w:ascii="Times New Roman" w:hAnsi="Times New Roman" w:cs="Times New Roman"/>
          <w:bCs/>
          <w:sz w:val="24"/>
          <w:szCs w:val="24"/>
          <w:lang w:val="es-ES_tradnl"/>
        </w:rPr>
        <w:t xml:space="preserve">y con un máximo de Cinco (5) días hábiles posteriores a la fecha de apertura. </w:t>
      </w:r>
    </w:p>
    <w:p w:rsidR="005156A8" w:rsidRPr="001A6152" w:rsidRDefault="005156A8" w:rsidP="005156A8">
      <w:pPr>
        <w:pStyle w:val="Prrafodelista"/>
        <w:widowControl w:val="0"/>
        <w:numPr>
          <w:ilvl w:val="0"/>
          <w:numId w:val="14"/>
        </w:numPr>
        <w:suppressAutoHyphens/>
        <w:ind w:left="786"/>
        <w:jc w:val="both"/>
        <w:rPr>
          <w:rFonts w:ascii="Times New Roman" w:hAnsi="Times New Roman" w:cs="Times New Roman"/>
          <w:bCs/>
          <w:sz w:val="24"/>
          <w:szCs w:val="24"/>
          <w:u w:val="single"/>
          <w:lang w:val="es-ES_tradnl"/>
        </w:rPr>
      </w:pPr>
      <w:r w:rsidRPr="001A6152">
        <w:rPr>
          <w:rFonts w:ascii="Times New Roman" w:hAnsi="Times New Roman" w:cs="Times New Roman"/>
          <w:bCs/>
          <w:sz w:val="24"/>
          <w:szCs w:val="24"/>
          <w:u w:val="single"/>
          <w:lang w:val="es-ES_tradnl"/>
        </w:rPr>
        <w:t>Documentación Específica para adquisición de Bienes de Uso</w:t>
      </w:r>
    </w:p>
    <w:p w:rsidR="005156A8" w:rsidRPr="001A6152" w:rsidRDefault="005156A8" w:rsidP="005156A8">
      <w:pPr>
        <w:widowControl w:val="0"/>
        <w:suppressAutoHyphens/>
        <w:spacing w:after="120" w:line="240" w:lineRule="auto"/>
        <w:ind w:left="851"/>
        <w:jc w:val="both"/>
        <w:rPr>
          <w:rFonts w:ascii="Times New Roman" w:hAnsi="Times New Roman" w:cs="Times New Roman"/>
          <w:bCs/>
          <w:sz w:val="24"/>
          <w:szCs w:val="24"/>
          <w:lang w:val="es-ES_tradnl"/>
        </w:rPr>
      </w:pPr>
      <w:r w:rsidRPr="001A6152">
        <w:rPr>
          <w:rFonts w:ascii="Times New Roman" w:hAnsi="Times New Roman" w:cs="Times New Roman"/>
          <w:b/>
          <w:bCs/>
          <w:sz w:val="24"/>
          <w:szCs w:val="24"/>
          <w:lang w:val="es-ES_tradnl"/>
        </w:rPr>
        <w:t>Garantía</w:t>
      </w:r>
      <w:r w:rsidRPr="001A6152">
        <w:rPr>
          <w:rFonts w:ascii="Times New Roman" w:hAnsi="Times New Roman" w:cs="Times New Roman"/>
          <w:bCs/>
          <w:sz w:val="24"/>
          <w:szCs w:val="24"/>
          <w:lang w:val="es-ES_tradnl"/>
        </w:rPr>
        <w:t>: El oferente debe adjuntar, en carácter de declaración jurada, la siguiente información:</w:t>
      </w:r>
    </w:p>
    <w:p w:rsidR="005156A8" w:rsidRPr="001A6152" w:rsidRDefault="005156A8" w:rsidP="005156A8">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1A6152">
        <w:rPr>
          <w:rFonts w:ascii="Times New Roman" w:eastAsiaTheme="minorHAnsi" w:hAnsi="Times New Roman" w:cs="Times New Roman"/>
          <w:bCs/>
          <w:sz w:val="24"/>
          <w:szCs w:val="24"/>
          <w:lang w:val="es-ES_tradnl" w:eastAsia="en-US"/>
        </w:rPr>
        <w:t>Garantía escrita de los bienes ofertados y la provisión de repuestos en caso de reemplazo de piezas o parte de las mismas, por un término no inferior a doce (12) meses, detallando dirección y datos de contactos para este fin.</w:t>
      </w:r>
    </w:p>
    <w:p w:rsidR="005156A8" w:rsidRPr="001A6152" w:rsidRDefault="005156A8" w:rsidP="005156A8">
      <w:pPr>
        <w:pStyle w:val="Prrafodelista"/>
        <w:widowControl w:val="0"/>
        <w:suppressAutoHyphens/>
        <w:spacing w:after="120" w:line="240" w:lineRule="auto"/>
        <w:ind w:left="1574"/>
        <w:jc w:val="both"/>
        <w:rPr>
          <w:rFonts w:ascii="Times New Roman" w:eastAsiaTheme="minorHAnsi" w:hAnsi="Times New Roman" w:cs="Times New Roman"/>
          <w:bCs/>
          <w:sz w:val="24"/>
          <w:szCs w:val="24"/>
          <w:lang w:val="es-ES_tradnl" w:eastAsia="en-US"/>
        </w:rPr>
      </w:pPr>
    </w:p>
    <w:p w:rsidR="005156A8" w:rsidRPr="001A6152" w:rsidRDefault="005156A8" w:rsidP="005156A8">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1A6152">
        <w:rPr>
          <w:rFonts w:ascii="Times New Roman" w:eastAsiaTheme="minorHAnsi" w:hAnsi="Times New Roman" w:cs="Times New Roman"/>
          <w:bCs/>
          <w:sz w:val="24"/>
          <w:szCs w:val="24"/>
          <w:lang w:val="es-ES_tradnl" w:eastAsia="en-US"/>
        </w:rPr>
        <w:t xml:space="preserve">La instalación, puesta en marcha y capacitación de corresponder, serán a cargo único y exclusivo del Adjudicatario. </w:t>
      </w:r>
    </w:p>
    <w:p w:rsidR="005156A8" w:rsidRPr="007D34C3" w:rsidRDefault="005156A8" w:rsidP="005156A8">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5156A8" w:rsidRDefault="005156A8" w:rsidP="005156A8">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5156A8" w:rsidRDefault="005156A8" w:rsidP="005156A8">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5156A8" w:rsidRDefault="005156A8" w:rsidP="005156A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5156A8" w:rsidRDefault="005156A8" w:rsidP="005156A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5156A8" w:rsidRDefault="005156A8" w:rsidP="005156A8">
      <w:pPr>
        <w:widowControl w:val="0"/>
        <w:spacing w:after="0" w:line="240" w:lineRule="auto"/>
        <w:ind w:left="426"/>
        <w:jc w:val="both"/>
        <w:rPr>
          <w:rFonts w:ascii="Times New Roman" w:hAnsi="Times New Roman" w:cs="Times New Roman"/>
          <w:bCs/>
          <w:sz w:val="24"/>
          <w:szCs w:val="24"/>
          <w:lang w:val="es-ES_tradnl"/>
        </w:rPr>
      </w:pPr>
    </w:p>
    <w:p w:rsidR="005156A8" w:rsidRDefault="005156A8" w:rsidP="005156A8">
      <w:pPr>
        <w:widowControl w:val="0"/>
        <w:spacing w:after="0" w:line="240" w:lineRule="auto"/>
        <w:ind w:left="426"/>
        <w:jc w:val="both"/>
        <w:rPr>
          <w:rFonts w:ascii="Times New Roman" w:hAnsi="Times New Roman" w:cs="Times New Roman"/>
          <w:bCs/>
          <w:sz w:val="24"/>
          <w:szCs w:val="24"/>
          <w:lang w:val="es-ES_tradnl"/>
        </w:rPr>
      </w:pPr>
    </w:p>
    <w:p w:rsidR="005156A8" w:rsidRPr="00291346" w:rsidRDefault="005156A8" w:rsidP="005156A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5156A8" w:rsidRPr="001E7EBE" w:rsidRDefault="005156A8" w:rsidP="005156A8">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5156A8" w:rsidRPr="001E7EBE" w:rsidRDefault="005156A8" w:rsidP="005156A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156A8" w:rsidRPr="001E7EBE" w:rsidRDefault="005156A8" w:rsidP="005156A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lastRenderedPageBreak/>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5156A8" w:rsidRPr="00012FC5" w:rsidRDefault="005156A8" w:rsidP="005156A8">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5156A8" w:rsidRPr="00012FC5" w:rsidRDefault="005156A8" w:rsidP="005156A8">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w:t>
      </w:r>
      <w:r w:rsidRPr="001A6152">
        <w:rPr>
          <w:rFonts w:ascii="Times New Roman" w:hAnsi="Times New Roman" w:cs="Times New Roman"/>
          <w:bCs/>
          <w:sz w:val="24"/>
          <w:szCs w:val="24"/>
          <w:lang w:val="es-ES_tradnl"/>
        </w:rPr>
        <w:t>, 13, 14 y lo</w:t>
      </w:r>
      <w:r w:rsidRPr="00012FC5">
        <w:rPr>
          <w:rFonts w:ascii="Times New Roman" w:hAnsi="Times New Roman" w:cs="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156A8" w:rsidRPr="00935073" w:rsidRDefault="005156A8" w:rsidP="005156A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5156A8" w:rsidRPr="001E7EBE" w:rsidRDefault="005156A8" w:rsidP="005156A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5156A8" w:rsidRDefault="005156A8" w:rsidP="005156A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5156A8" w:rsidRPr="001E7EBE" w:rsidRDefault="005156A8" w:rsidP="005156A8">
      <w:pPr>
        <w:pStyle w:val="NormalWeb"/>
        <w:spacing w:before="0" w:beforeAutospacing="0" w:after="0"/>
        <w:ind w:left="426"/>
        <w:jc w:val="both"/>
        <w:rPr>
          <w:rFonts w:eastAsiaTheme="minorHAnsi"/>
          <w:bCs/>
          <w:lang w:val="es-ES_tradnl" w:eastAsia="en-US"/>
        </w:rPr>
      </w:pPr>
    </w:p>
    <w:p w:rsidR="005156A8" w:rsidRDefault="005156A8" w:rsidP="005156A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156A8" w:rsidRPr="007D34C3" w:rsidRDefault="005156A8" w:rsidP="005156A8">
      <w:pPr>
        <w:widowControl w:val="0"/>
        <w:suppressAutoHyphens/>
        <w:spacing w:after="0" w:line="240" w:lineRule="auto"/>
        <w:ind w:left="426" w:right="74"/>
        <w:jc w:val="both"/>
        <w:rPr>
          <w:rFonts w:ascii="Times New Roman" w:hAnsi="Times New Roman" w:cs="Times New Roman"/>
          <w:bCs/>
          <w:sz w:val="24"/>
          <w:szCs w:val="24"/>
          <w:lang w:val="es-ES_tradnl"/>
        </w:rPr>
      </w:pPr>
    </w:p>
    <w:p w:rsidR="005156A8" w:rsidRPr="001E7EBE" w:rsidRDefault="005156A8" w:rsidP="005156A8">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156A8" w:rsidRPr="001E7EBE" w:rsidRDefault="005156A8" w:rsidP="005156A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5156A8" w:rsidRPr="001E7EBE" w:rsidRDefault="005156A8" w:rsidP="005156A8">
      <w:pPr>
        <w:pStyle w:val="NormalWeb"/>
        <w:spacing w:before="0" w:beforeAutospacing="0" w:after="0"/>
        <w:ind w:left="426"/>
        <w:jc w:val="both"/>
        <w:rPr>
          <w:rFonts w:eastAsiaTheme="minorHAnsi"/>
          <w:b/>
          <w:bCs/>
          <w:lang w:val="es-ES_tradnl" w:eastAsia="en-US"/>
        </w:rPr>
      </w:pPr>
    </w:p>
    <w:p w:rsidR="005156A8" w:rsidRDefault="005156A8" w:rsidP="005156A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5156A8" w:rsidRDefault="005156A8" w:rsidP="005156A8">
      <w:pPr>
        <w:suppressAutoHyphens/>
        <w:spacing w:after="0" w:line="240" w:lineRule="auto"/>
        <w:ind w:left="426"/>
        <w:jc w:val="both"/>
        <w:rPr>
          <w:rFonts w:ascii="Times New Roman" w:hAnsi="Times New Roman" w:cs="Times New Roman"/>
          <w:bCs/>
          <w:sz w:val="24"/>
          <w:szCs w:val="24"/>
          <w:lang w:val="es-ES_tradnl"/>
        </w:rPr>
      </w:pPr>
    </w:p>
    <w:p w:rsidR="005156A8" w:rsidRDefault="005156A8" w:rsidP="005156A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156A8" w:rsidRPr="00605C88" w:rsidRDefault="005156A8" w:rsidP="005156A8">
      <w:pPr>
        <w:suppressAutoHyphens/>
        <w:spacing w:after="0" w:line="240" w:lineRule="auto"/>
        <w:jc w:val="both"/>
        <w:rPr>
          <w:rFonts w:ascii="Times New Roman" w:hAnsi="Times New Roman" w:cs="Times New Roman"/>
          <w:bCs/>
          <w:sz w:val="24"/>
          <w:szCs w:val="24"/>
          <w:lang w:val="es-ES_tradnl"/>
        </w:rPr>
      </w:pPr>
    </w:p>
    <w:p w:rsidR="005156A8" w:rsidRPr="00031FA6" w:rsidRDefault="005156A8" w:rsidP="005156A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5156A8" w:rsidRDefault="005156A8" w:rsidP="005156A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5156A8" w:rsidRPr="009B610F" w:rsidRDefault="005156A8" w:rsidP="005156A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5156A8" w:rsidRPr="009B610F"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5156A8" w:rsidRPr="009B610F"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5156A8" w:rsidRPr="009B610F"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5156A8" w:rsidRPr="00C413E3" w:rsidRDefault="005156A8" w:rsidP="005156A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5156A8" w:rsidRPr="00E55FF1" w:rsidRDefault="005156A8" w:rsidP="005156A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5156A8" w:rsidRPr="00E55FF1" w:rsidRDefault="005156A8" w:rsidP="005156A8">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5156A8"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p>
    <w:p w:rsidR="005156A8" w:rsidRPr="00E55FF1" w:rsidRDefault="005156A8" w:rsidP="005156A8">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5156A8" w:rsidRPr="00E55FF1" w:rsidRDefault="005156A8" w:rsidP="005156A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5156A8" w:rsidRPr="00E55FF1"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5156A8" w:rsidRPr="00605C88" w:rsidRDefault="005156A8" w:rsidP="005156A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5156A8" w:rsidRPr="001E7EBE" w:rsidRDefault="005156A8" w:rsidP="005156A8">
      <w:pPr>
        <w:suppressAutoHyphens/>
        <w:spacing w:after="0" w:line="240" w:lineRule="auto"/>
        <w:ind w:left="426"/>
        <w:jc w:val="both"/>
        <w:rPr>
          <w:bCs/>
          <w:lang w:val="es-ES_tradnl"/>
        </w:rPr>
      </w:pPr>
    </w:p>
    <w:p w:rsidR="005156A8" w:rsidRPr="00006C5E" w:rsidRDefault="005156A8" w:rsidP="005156A8">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5156A8" w:rsidRDefault="005156A8" w:rsidP="005156A8">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5156A8" w:rsidRPr="008B3756" w:rsidRDefault="005156A8" w:rsidP="005156A8">
      <w:pPr>
        <w:pStyle w:val="NormalWeb"/>
        <w:spacing w:before="0" w:beforeAutospacing="0" w:after="0"/>
        <w:jc w:val="both"/>
        <w:rPr>
          <w:rFonts w:eastAsiaTheme="minorHAnsi"/>
          <w:bCs/>
          <w:lang w:val="es-ES_tradnl" w:eastAsia="en-US"/>
        </w:rPr>
      </w:pPr>
      <w:r>
        <w:t xml:space="preserve">1) Causales de Suspensión por el plazo de 180 días: </w:t>
      </w:r>
    </w:p>
    <w:p w:rsidR="005156A8" w:rsidRDefault="005156A8" w:rsidP="005156A8">
      <w:pPr>
        <w:pStyle w:val="NormalWeb"/>
        <w:spacing w:before="0" w:beforeAutospacing="0" w:after="0"/>
        <w:ind w:left="426"/>
        <w:jc w:val="both"/>
      </w:pPr>
      <w:r>
        <w:t xml:space="preserve">a) Incumplir en forma total o parcial con la entrega de los bienes o la realización de los servicios. </w:t>
      </w:r>
    </w:p>
    <w:p w:rsidR="005156A8" w:rsidRDefault="005156A8" w:rsidP="005156A8">
      <w:pPr>
        <w:pStyle w:val="NormalWeb"/>
        <w:spacing w:before="0" w:beforeAutospacing="0" w:after="0"/>
        <w:ind w:left="426"/>
        <w:jc w:val="both"/>
      </w:pPr>
      <w:r>
        <w:t xml:space="preserve">b) Entregar los bienes o prestar los servicios fuera del término en más de dos oportunidades, dentro del mismo ejercicio. </w:t>
      </w:r>
    </w:p>
    <w:p w:rsidR="005156A8" w:rsidRDefault="005156A8" w:rsidP="005156A8">
      <w:pPr>
        <w:pStyle w:val="NormalWeb"/>
        <w:spacing w:before="0" w:beforeAutospacing="0" w:after="0"/>
        <w:ind w:left="426"/>
        <w:jc w:val="both"/>
      </w:pPr>
      <w:r>
        <w:lastRenderedPageBreak/>
        <w:t xml:space="preserve">c) Entregar bienes o prestar servicios que no cumplan los requisitos de especificidad establecidos en la oferta.  </w:t>
      </w:r>
    </w:p>
    <w:p w:rsidR="005156A8" w:rsidRDefault="005156A8" w:rsidP="005156A8">
      <w:pPr>
        <w:pStyle w:val="NormalWeb"/>
        <w:spacing w:before="0" w:beforeAutospacing="0" w:after="0"/>
        <w:ind w:left="-284" w:firstLine="284"/>
        <w:jc w:val="both"/>
      </w:pPr>
      <w:r>
        <w:t xml:space="preserve">2) Causales de Inhabilitación Temporaria o Permanente: </w:t>
      </w:r>
    </w:p>
    <w:p w:rsidR="005156A8" w:rsidRDefault="005156A8" w:rsidP="005156A8">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5156A8" w:rsidRDefault="005156A8" w:rsidP="005156A8">
      <w:pPr>
        <w:pStyle w:val="NormalWeb"/>
        <w:spacing w:before="0" w:beforeAutospacing="0" w:after="0"/>
        <w:ind w:left="426"/>
        <w:jc w:val="both"/>
      </w:pPr>
      <w:r>
        <w:t xml:space="preserve">b) Se compruebe conductas graves que atenten contra el medio ambiente. </w:t>
      </w:r>
    </w:p>
    <w:p w:rsidR="005156A8" w:rsidRDefault="005156A8" w:rsidP="005156A8">
      <w:pPr>
        <w:pStyle w:val="NormalWeb"/>
        <w:spacing w:before="0" w:beforeAutospacing="0" w:after="0"/>
        <w:ind w:left="426"/>
        <w:jc w:val="both"/>
      </w:pPr>
      <w:r>
        <w:t xml:space="preserve">c) Se compruebe fehacientemente la presentación por el proveedor de información falsa o adulterada. </w:t>
      </w:r>
    </w:p>
    <w:p w:rsidR="005156A8" w:rsidRDefault="005156A8" w:rsidP="005156A8">
      <w:pPr>
        <w:pStyle w:val="NormalWeb"/>
        <w:spacing w:before="0" w:beforeAutospacing="0" w:after="0"/>
        <w:ind w:left="426"/>
        <w:jc w:val="both"/>
      </w:pPr>
      <w:r>
        <w:t xml:space="preserve">d) Declaración de la quiebra hasta la rehabilitación. </w:t>
      </w:r>
    </w:p>
    <w:p w:rsidR="005156A8" w:rsidRDefault="005156A8" w:rsidP="005156A8">
      <w:pPr>
        <w:pStyle w:val="NormalWeb"/>
        <w:spacing w:before="0" w:beforeAutospacing="0" w:after="0"/>
        <w:ind w:left="426"/>
        <w:jc w:val="both"/>
      </w:pPr>
      <w:r>
        <w:t xml:space="preserve">e) En caso de incurrir en tres (3) suspensiones por un período de dos (2) años, el plazo de suspensión será de 2 años. </w:t>
      </w:r>
    </w:p>
    <w:p w:rsidR="005156A8" w:rsidRDefault="005156A8" w:rsidP="005156A8">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156A8" w:rsidRDefault="005156A8" w:rsidP="005156A8">
      <w:pPr>
        <w:pStyle w:val="NormalWeb"/>
        <w:spacing w:before="0" w:beforeAutospacing="0" w:after="0"/>
        <w:jc w:val="both"/>
        <w:rPr>
          <w:bCs/>
          <w:lang w:val="es-ES_tradnl"/>
        </w:rPr>
      </w:pPr>
    </w:p>
    <w:p w:rsidR="005156A8" w:rsidRDefault="005156A8" w:rsidP="005156A8">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156A8" w:rsidRDefault="005156A8" w:rsidP="005156A8">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156A8" w:rsidRPr="00351ECB" w:rsidRDefault="005156A8" w:rsidP="005156A8">
      <w:pPr>
        <w:pStyle w:val="NormalWeb"/>
        <w:spacing w:before="0" w:beforeAutospacing="0" w:after="0"/>
        <w:jc w:val="both"/>
      </w:pPr>
      <w:r>
        <w:t>Según Modificatoria de Clausulas Generales Decreto 664-MSP-2019.</w:t>
      </w:r>
    </w:p>
    <w:p w:rsidR="005156A8" w:rsidRPr="003B5518" w:rsidRDefault="005156A8" w:rsidP="005156A8">
      <w:pPr>
        <w:pStyle w:val="NormalWeb"/>
        <w:spacing w:before="0" w:beforeAutospacing="0" w:after="0"/>
        <w:jc w:val="both"/>
        <w:rPr>
          <w:rFonts w:ascii="Verdana" w:hAnsi="Verdana" w:cs="Arial"/>
          <w:sz w:val="20"/>
          <w:szCs w:val="20"/>
        </w:rPr>
      </w:pPr>
    </w:p>
    <w:p w:rsidR="005156A8" w:rsidRPr="00C76663" w:rsidRDefault="005156A8" w:rsidP="005156A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C76663">
        <w:rPr>
          <w:rFonts w:ascii="Times New Roman" w:hAnsi="Times New Roman" w:cs="Times New Roman"/>
          <w:b/>
          <w:bCs/>
          <w:sz w:val="24"/>
          <w:szCs w:val="24"/>
          <w:lang w:val="es-ES_tradnl"/>
        </w:rPr>
        <w:t xml:space="preserve">Plazo y forma de entrega: </w:t>
      </w:r>
    </w:p>
    <w:p w:rsidR="005156A8" w:rsidRPr="00C76663" w:rsidRDefault="005156A8" w:rsidP="005156A8">
      <w:pPr>
        <w:pStyle w:val="NormalWeb"/>
        <w:numPr>
          <w:ilvl w:val="0"/>
          <w:numId w:val="16"/>
        </w:numPr>
        <w:spacing w:before="0" w:beforeAutospacing="0" w:after="0"/>
        <w:jc w:val="both"/>
        <w:rPr>
          <w:rFonts w:eastAsiaTheme="minorHAnsi"/>
          <w:b/>
          <w:bCs/>
          <w:u w:val="single"/>
          <w:lang w:val="es-ES_tradnl" w:eastAsia="en-US"/>
        </w:rPr>
      </w:pPr>
      <w:r w:rsidRPr="00C76663">
        <w:rPr>
          <w:rFonts w:eastAsiaTheme="minorHAnsi"/>
          <w:b/>
          <w:bCs/>
          <w:u w:val="single"/>
          <w:lang w:val="es-ES_tradnl" w:eastAsia="en-US"/>
        </w:rPr>
        <w:t>En General</w:t>
      </w:r>
    </w:p>
    <w:p w:rsidR="005156A8" w:rsidRPr="00C76663" w:rsidRDefault="005156A8" w:rsidP="005156A8">
      <w:pPr>
        <w:pStyle w:val="NormalWeb"/>
        <w:spacing w:before="0" w:beforeAutospacing="0" w:after="0"/>
        <w:ind w:left="360"/>
        <w:jc w:val="both"/>
        <w:rPr>
          <w:rFonts w:eastAsiaTheme="minorHAnsi"/>
          <w:bCs/>
          <w:lang w:val="es-ES_tradnl" w:eastAsia="en-US"/>
        </w:rPr>
      </w:pPr>
    </w:p>
    <w:p w:rsidR="005156A8" w:rsidRPr="00C76663" w:rsidRDefault="005156A8" w:rsidP="005156A8">
      <w:pPr>
        <w:pStyle w:val="NormalWeb"/>
        <w:spacing w:before="0" w:beforeAutospacing="0" w:after="0"/>
        <w:jc w:val="both"/>
        <w:rPr>
          <w:rFonts w:eastAsiaTheme="minorHAnsi"/>
          <w:bCs/>
          <w:lang w:val="es-ES_tradnl" w:eastAsia="en-US"/>
        </w:rPr>
      </w:pPr>
      <w:r w:rsidRPr="00C76663">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5156A8" w:rsidRPr="00C76663" w:rsidRDefault="005156A8" w:rsidP="005156A8">
      <w:pPr>
        <w:pStyle w:val="NormalWeb"/>
        <w:spacing w:before="0" w:beforeAutospacing="0" w:after="0"/>
        <w:jc w:val="both"/>
        <w:rPr>
          <w:rFonts w:eastAsiaTheme="minorHAnsi"/>
          <w:bCs/>
          <w:lang w:val="es-ES_tradnl" w:eastAsia="en-US"/>
        </w:rPr>
      </w:pPr>
      <w:r w:rsidRPr="00C76663">
        <w:rPr>
          <w:rFonts w:eastAsiaTheme="minorHAnsi"/>
          <w:b/>
          <w:bCs/>
          <w:lang w:val="es-ES_tradnl" w:eastAsia="en-US"/>
        </w:rPr>
        <w:t>Plazo de entrega: 15 (quince) días hábiles</w:t>
      </w:r>
      <w:r w:rsidRPr="00C76663">
        <w:rPr>
          <w:rFonts w:eastAsiaTheme="minorHAnsi"/>
          <w:bCs/>
          <w:lang w:val="es-ES_tradnl" w:eastAsia="en-US"/>
        </w:rPr>
        <w:t xml:space="preserve"> a partir de la fecha de notificación de la Orden de Entrega definitiva o contrato, </w:t>
      </w:r>
      <w:r w:rsidRPr="00C76663">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C76663">
        <w:rPr>
          <w:rFonts w:eastAsiaTheme="minorHAnsi"/>
          <w:bCs/>
          <w:lang w:val="es-ES_tradnl" w:eastAsia="en-US"/>
        </w:rPr>
        <w:t>, lo cual será evaluado por la Comisión de Adjudicación.-</w:t>
      </w:r>
    </w:p>
    <w:p w:rsidR="005156A8" w:rsidRPr="00C76663" w:rsidRDefault="005156A8" w:rsidP="005156A8">
      <w:pPr>
        <w:pStyle w:val="NormalWeb"/>
        <w:spacing w:before="0" w:beforeAutospacing="0" w:after="0"/>
        <w:jc w:val="both"/>
        <w:rPr>
          <w:rFonts w:eastAsiaTheme="minorHAnsi"/>
          <w:b/>
          <w:bCs/>
          <w:u w:val="single"/>
          <w:lang w:val="es-ES_tradnl" w:eastAsia="en-US"/>
        </w:rPr>
      </w:pPr>
      <w:r w:rsidRPr="00C76663">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C76663">
        <w:rPr>
          <w:rFonts w:eastAsiaTheme="minorHAnsi"/>
          <w:b/>
          <w:bCs/>
          <w:u w:val="single"/>
          <w:lang w:val="es-ES_tradnl" w:eastAsia="en-US"/>
        </w:rPr>
        <w:t>ó</w:t>
      </w:r>
      <w:proofErr w:type="spellEnd"/>
      <w:r w:rsidRPr="00C76663">
        <w:rPr>
          <w:rFonts w:eastAsiaTheme="minorHAnsi"/>
          <w:b/>
          <w:bCs/>
          <w:u w:val="single"/>
          <w:lang w:val="es-ES_tradnl" w:eastAsia="en-US"/>
        </w:rPr>
        <w:t xml:space="preserve"> los renglones entregados con mora, todo esto en la instancia al pago de la facturación presentada.-</w:t>
      </w:r>
    </w:p>
    <w:p w:rsidR="005156A8" w:rsidRPr="00C76663" w:rsidRDefault="005156A8" w:rsidP="005156A8">
      <w:pPr>
        <w:pStyle w:val="NormalWeb"/>
        <w:spacing w:before="0" w:beforeAutospacing="0" w:after="0"/>
        <w:jc w:val="both"/>
        <w:rPr>
          <w:rFonts w:eastAsiaTheme="minorHAnsi"/>
          <w:bCs/>
          <w:lang w:val="es-ES_tradnl" w:eastAsia="en-US"/>
        </w:rPr>
      </w:pPr>
      <w:r w:rsidRPr="00C76663">
        <w:rPr>
          <w:rFonts w:eastAsiaTheme="minorHAnsi"/>
          <w:bCs/>
          <w:lang w:val="es-ES_tradnl" w:eastAsia="en-US"/>
        </w:rPr>
        <w:t>Se deberá hacer entrega de las unidades que conforman el total del renglón o lote completo adjudicado.</w:t>
      </w:r>
    </w:p>
    <w:p w:rsidR="005156A8" w:rsidRPr="00C76663" w:rsidRDefault="005156A8" w:rsidP="005156A8">
      <w:pPr>
        <w:spacing w:after="0" w:line="240" w:lineRule="auto"/>
        <w:contextualSpacing/>
        <w:rPr>
          <w:rFonts w:ascii="Times New Roman" w:hAnsi="Times New Roman" w:cs="Times New Roman"/>
          <w:bCs/>
          <w:sz w:val="24"/>
          <w:szCs w:val="24"/>
          <w:lang w:val="es-ES_tradnl"/>
        </w:rPr>
      </w:pPr>
    </w:p>
    <w:p w:rsidR="005156A8" w:rsidRPr="0085205E" w:rsidRDefault="005156A8" w:rsidP="005156A8">
      <w:pPr>
        <w:spacing w:after="0" w:line="240" w:lineRule="auto"/>
        <w:contextualSpacing/>
        <w:jc w:val="center"/>
        <w:rPr>
          <w:rFonts w:ascii="Times New Roman" w:hAnsi="Times New Roman" w:cs="Times New Roman"/>
          <w:sz w:val="24"/>
          <w:szCs w:val="24"/>
          <w:lang w:val="es-ES_tradnl"/>
        </w:rPr>
      </w:pPr>
      <w:r w:rsidRPr="00C76663">
        <w:rPr>
          <w:rFonts w:ascii="Times New Roman" w:hAnsi="Times New Roman" w:cs="Times New Roman"/>
          <w:sz w:val="24"/>
          <w:szCs w:val="24"/>
          <w:lang w:val="es-ES_tradnl"/>
        </w:rPr>
        <w:t xml:space="preserve"> “SE SOLICITA INCLUIR EN LA OFERTA ECONOMICA</w:t>
      </w:r>
      <w:r>
        <w:rPr>
          <w:rFonts w:ascii="Times New Roman" w:hAnsi="Times New Roman" w:cs="Times New Roman"/>
          <w:sz w:val="24"/>
          <w:szCs w:val="24"/>
          <w:lang w:val="es-ES_tradnl"/>
        </w:rPr>
        <w:t>,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0" w:name="_GoBack"/>
      <w:bookmarkEnd w:id="0"/>
    </w:p>
    <w:p w:rsidR="007163EB" w:rsidRPr="00182406" w:rsidRDefault="00A3653B"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3B" w:rsidRDefault="00A3653B" w:rsidP="00044DD7">
      <w:pPr>
        <w:spacing w:after="0" w:line="240" w:lineRule="auto"/>
      </w:pPr>
      <w:r>
        <w:separator/>
      </w:r>
    </w:p>
  </w:endnote>
  <w:endnote w:type="continuationSeparator" w:id="0">
    <w:p w:rsidR="00A3653B" w:rsidRDefault="00A3653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3B" w:rsidRDefault="00A3653B" w:rsidP="00044DD7">
      <w:pPr>
        <w:spacing w:after="0" w:line="240" w:lineRule="auto"/>
      </w:pPr>
      <w:r>
        <w:separator/>
      </w:r>
    </w:p>
  </w:footnote>
  <w:footnote w:type="continuationSeparator" w:id="0">
    <w:p w:rsidR="00A3653B" w:rsidRDefault="00A3653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3801</Words>
  <Characters>20906</Characters>
  <Application>Microsoft Office Word</Application>
  <DocSecurity>0</DocSecurity>
  <Lines>174</Lines>
  <Paragraphs>49</Paragraphs>
  <ScaleCrop>false</ScaleCrop>
  <Company>Microsoft</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203</cp:revision>
  <dcterms:created xsi:type="dcterms:W3CDTF">2019-01-14T11:30:00Z</dcterms:created>
  <dcterms:modified xsi:type="dcterms:W3CDTF">2020-06-12T12:01:00Z</dcterms:modified>
</cp:coreProperties>
</file>