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79" w:rsidRPr="00E845B3" w:rsidRDefault="008D4579" w:rsidP="008D457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E845B3">
        <w:rPr>
          <w:rFonts w:ascii="Verdana" w:hAnsi="Verdana" w:cs="Arial"/>
          <w:b/>
          <w:sz w:val="28"/>
          <w:szCs w:val="28"/>
          <w:u w:val="single"/>
        </w:rPr>
        <w:t xml:space="preserve">LICITACION PUBLICA N° </w:t>
      </w:r>
      <w:r w:rsidR="001A0CAA">
        <w:rPr>
          <w:rFonts w:ascii="Verdana" w:hAnsi="Verdana" w:cs="Arial"/>
          <w:b/>
          <w:sz w:val="28"/>
          <w:szCs w:val="28"/>
          <w:u w:val="single"/>
        </w:rPr>
        <w:t>26</w:t>
      </w:r>
      <w:r w:rsidRPr="00E845B3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pPr w:leftFromText="141" w:rightFromText="141" w:vertAnchor="text" w:tblpY="1"/>
        <w:tblOverlap w:val="never"/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6617"/>
        <w:gridCol w:w="1134"/>
      </w:tblGrid>
      <w:tr w:rsidR="001A0CAA" w:rsidRPr="003C7A15" w:rsidTr="001A0CAA">
        <w:trPr>
          <w:trHeight w:val="264"/>
        </w:trPr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>Renglón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>Cantidad</w:t>
            </w:r>
          </w:p>
        </w:tc>
      </w:tr>
      <w:tr w:rsidR="001A0CAA" w:rsidRPr="003C7A15" w:rsidTr="001A0CAA">
        <w:trPr>
          <w:trHeight w:val="13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1A0C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>Movilidad tipo furgón, sin equipamiento adicional</w:t>
            </w:r>
            <w:r w:rsidRPr="003C7A15">
              <w:rPr>
                <w:rFonts w:ascii="Times New Roman" w:hAnsi="Times New Roman"/>
                <w:sz w:val="24"/>
                <w:szCs w:val="24"/>
              </w:rPr>
              <w:t>, características:</w:t>
            </w:r>
          </w:p>
          <w:p w:rsidR="001A0CAA" w:rsidRPr="003C7A15" w:rsidRDefault="001A0CAA" w:rsidP="00E93A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sz w:val="24"/>
                <w:szCs w:val="24"/>
              </w:rPr>
              <w:t xml:space="preserve">Combustible diesel, portón trasero de doble hoja, puerta lateral corrediza, largo no menor a 5,30 </w:t>
            </w:r>
            <w:proofErr w:type="spellStart"/>
            <w:r w:rsidRPr="003C7A15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3C7A15">
              <w:rPr>
                <w:rFonts w:ascii="Times New Roman" w:hAnsi="Times New Roman"/>
                <w:sz w:val="24"/>
                <w:szCs w:val="24"/>
              </w:rPr>
              <w:t xml:space="preserve">., altura superior a 2,00 </w:t>
            </w:r>
            <w:proofErr w:type="spellStart"/>
            <w:r w:rsidRPr="003C7A15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3C7A15">
              <w:rPr>
                <w:rFonts w:ascii="Times New Roman" w:hAnsi="Times New Roman"/>
                <w:sz w:val="24"/>
                <w:szCs w:val="24"/>
              </w:rPr>
              <w:t>, con capacidad de carga útil superior a 1000 Kg, aire acondicionado, levantavidri</w:t>
            </w:r>
            <w:bookmarkStart w:id="0" w:name="_GoBack"/>
            <w:bookmarkEnd w:id="0"/>
            <w:r w:rsidRPr="003C7A15">
              <w:rPr>
                <w:rFonts w:ascii="Times New Roman" w:hAnsi="Times New Roman"/>
                <w:sz w:val="24"/>
                <w:szCs w:val="24"/>
              </w:rPr>
              <w:t>os delanteros y cierre centralizado.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</w:tr>
      <w:tr w:rsidR="001A0CAA" w:rsidRPr="003C7A15" w:rsidTr="001A0CAA">
        <w:trPr>
          <w:trHeight w:val="594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>Movilidad tipo furgón con equipamiento de Ambulancia  de Alta Complejidad</w:t>
            </w:r>
            <w:r w:rsidRPr="003C7A15">
              <w:rPr>
                <w:rFonts w:ascii="Times New Roman" w:hAnsi="Times New Roman"/>
                <w:sz w:val="24"/>
                <w:szCs w:val="24"/>
              </w:rPr>
              <w:t>, características:</w:t>
            </w:r>
          </w:p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sz w:val="24"/>
                <w:szCs w:val="24"/>
              </w:rPr>
              <w:t xml:space="preserve">Combustible diesel, portón trasero de doble hoja, puerta lateral corrediza, largo no menor a 5,30 </w:t>
            </w:r>
            <w:proofErr w:type="spellStart"/>
            <w:r w:rsidRPr="003C7A15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3C7A15">
              <w:rPr>
                <w:rFonts w:ascii="Times New Roman" w:hAnsi="Times New Roman"/>
                <w:sz w:val="24"/>
                <w:szCs w:val="24"/>
              </w:rPr>
              <w:t xml:space="preserve">., altura superior a 2,00 </w:t>
            </w:r>
            <w:proofErr w:type="spellStart"/>
            <w:r w:rsidRPr="003C7A15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3C7A15">
              <w:rPr>
                <w:rFonts w:ascii="Times New Roman" w:hAnsi="Times New Roman"/>
                <w:sz w:val="24"/>
                <w:szCs w:val="24"/>
              </w:rPr>
              <w:t>, con capacidad de carga útil superior a 1000 Kg, aire acondicionado, levantavidrios delanteros y cierre centralizado.</w:t>
            </w:r>
          </w:p>
          <w:p w:rsidR="001A0CAA" w:rsidRPr="003C7A15" w:rsidRDefault="001A0CAA" w:rsidP="00E93AF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Requisitos y equipamiento para las Ambulancias de Alta Complejidad: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Aislación termo acústica: realizada con membrana termo acústica ignifuga no contaminante. 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Revestimiento interior por medio de material termo acústico no contaminante.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Revestimiento de laterales y techo por medio de plástico reforzado fibra de vidrio.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Instalación eléctrica independiente del vehículo, con tomas de 12v con cables anti llamas.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Tabique Divisor de cabina y compartimiento sanitario.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Piso de alto tránsito que incluya terminaciones perimetrales.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Tomacorrientes 12V doble.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Tomacorrientes 12V para incubadora.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Tomacorrientes interior/exterior 220volts. Circuito protegido con disyuntor diferencial 25A. 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Iluminación interior por medio de plafones y spots, debe incluir un faro de interior trasero para iluminación de maniobras nocturnas de la camilla, por medio de luminaria LED.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Doble fusilera protectora incorporada.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Consola de techo en plástico de fibra de vidrio reforzada.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Comandos delanteros y traseros para el accionar del instrumental eléctrico.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Calefactor ubicado en habitáculo sanitario.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Soplador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presurizador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eléctrico instalado en el techo de la unidad.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Evaporador trasero en compartimiento sanitario, anexado al equipo de aire acondicionado delantero, original de la unidad.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Barral de techo doble, con sirena de tono diferenciado y megáfono con micrófono de palma, con sistema de luces LED.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Pasamano de techo, con soporte para suero sangre corredizo.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Matafuegos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triclase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ABC, de 2,5KGs de capacidad, con soporte de fijación.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Baliza triangulo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reflectiva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Butaca fija para médico, ubicada a la cabecera del paciente. Debe contar con cinturón de seguridad abdominal, tapizada en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cuerina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lavable atóxica y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retardante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 fuego.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Esmerilado de vidrios en puertas traseras y vidrios laterales, en caso de que los posea.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Asiento baulera longitudinal en material de MDF o fibra de vidrio reforzado. Debe contar con cinturones de seguridad inerciales.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Mobiliario: Mueble con espacio para alojar instrumental médico, puertas corredizas con terminaciones en aluminio y plástico. Deben estar desarrollados con materiales certificados con ensayos de inflamabilidad.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Camilla para pacientes de aluminio y acero inoxidable, de patas plegables con ruedas giratorias y bloqueo antideslizante. Debe cumplir con Normas UNE EN 1865 y poseer inscripción de ANMAT. Tabla de raquis plástica incorporada, guardada bajo camilla.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Cardiodesfibrilador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con monitor y registrador, a batería y eléctrico.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Dos tubos de Oxígeno no menores a 2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mts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cúbicos, con soporte doble, regulador de oxígeno y manguera atoxica.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Panel de oxigenoterapia que incluya respirador de transporte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microprocesado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aspirador y humidificador.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Regulador de Oxígeno Kg/Kg, con toma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diss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doble y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Flowmeter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Rotulado exterior: cuatro palabras “ambulancia”, dos símbolos de vida y detalle de la institución.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Silla de ruedas en perfiles a aluminio, plegable con cinturón de seguridad ventral. Ruedas de gran tamaño, giratorias y con bloqueo antideslizante. Manijas frontales y posteriores plegables. Debe cumplir con Normas UNE EN 1865 y poseer inscripción de ANMAT.</w:t>
            </w:r>
          </w:p>
          <w:p w:rsidR="001A0CAA" w:rsidRPr="003C7A15" w:rsidRDefault="001A0CAA" w:rsidP="00E93AF0">
            <w:pPr>
              <w:pStyle w:val="Prrafodelista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5</w:t>
            </w:r>
          </w:p>
        </w:tc>
      </w:tr>
      <w:tr w:rsidR="001A0CAA" w:rsidRPr="003C7A15" w:rsidTr="001A0CAA">
        <w:trPr>
          <w:trHeight w:val="57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lastRenderedPageBreak/>
              <w:t>3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>Movilidad tipo furgón con equipamiento de Ambulancia de traslado</w:t>
            </w:r>
            <w:r w:rsidRPr="003C7A15">
              <w:rPr>
                <w:rFonts w:ascii="Times New Roman" w:hAnsi="Times New Roman"/>
                <w:sz w:val="24"/>
                <w:szCs w:val="24"/>
              </w:rPr>
              <w:t>, características:</w:t>
            </w:r>
          </w:p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sz w:val="24"/>
                <w:szCs w:val="24"/>
              </w:rPr>
              <w:t xml:space="preserve">Combustible diesel, portón trasero de doble hoja, puerta lateral corrediza, largo no menor a 5,30 </w:t>
            </w:r>
            <w:proofErr w:type="spellStart"/>
            <w:r w:rsidRPr="003C7A15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3C7A15">
              <w:rPr>
                <w:rFonts w:ascii="Times New Roman" w:hAnsi="Times New Roman"/>
                <w:sz w:val="24"/>
                <w:szCs w:val="24"/>
              </w:rPr>
              <w:t xml:space="preserve">., altura superior a 2,00 </w:t>
            </w:r>
            <w:proofErr w:type="spellStart"/>
            <w:r w:rsidRPr="003C7A15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3C7A15">
              <w:rPr>
                <w:rFonts w:ascii="Times New Roman" w:hAnsi="Times New Roman"/>
                <w:sz w:val="24"/>
                <w:szCs w:val="24"/>
              </w:rPr>
              <w:t>, con capacidad de carga útil superior a 1000 Kg, aire acondicionado, levantavidrios delanteros y cierre centralizado.</w:t>
            </w:r>
          </w:p>
          <w:p w:rsidR="001A0CAA" w:rsidRPr="003C7A15" w:rsidRDefault="001A0CAA" w:rsidP="00E93AF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Requisitos y equipamiento para las Ambulancias de Traslado: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Aislación termo acústica: realizada con membrana termo acústica ignifuga no contaminante. 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Revestimiento interior por medio de material termo acústico no contaminante.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Revestimiento de laterales y techo por medio de plástico reforzado fibra de vidrio.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Instalación eléctrica independiente del vehículo, con tomas de 12v con cables anti llamas.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Tomacorrientes 12V doble.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Tomacorrientes 12V para incubadora.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Tomacorrientes interior/exterior 220volts. Circuito protegido con disyuntor diferencial 25A. 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Iluminación interior por medio de plafones y spots, debe incluir un faro de interior trasero para iluminación de maniobras nocturnas de la camilla, por medio de luminaria LED.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Doble fusilera protectora incorporada.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Tabique Divisor de cabina y compartimiento sanitario.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Consola de techo en plástico de fibra de vidrio reforzada.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Comandos delanteros y traseros para el accionar del instrumental eléctrico.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Calefactor ubicado en habitáculo sanitario.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Soplador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presurizador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eléctrico instalado en el techo de la unidad.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Evaporador trasero en compartimiento sanitario, anexado al equipo de aire acondicionado delantero, original de la unidad.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Barral de techo doble, con sirena de tono diferenciado y megáfono con micrófono de palma, con sistema de luces LED.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Pasamano de techo, con soporte para suero sangre corredizo.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Matafuegos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triclase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ABC, de 2,5KGs de capacidad, con soporte de fijación.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Baliza triangulo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reflectiva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Butaca fija para médico, ubicada en la cabecera del paciente. Debe contar con cinturón de seguridad abdominal, tapizada en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cuerina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lavable atóxica y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retardante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 fuego.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Esmerilado de vidrios en puertas traseras y vidrios laterales, en caso de que los posea.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Asiento baulera longitudinal en material de MDF o fibra de vidrio reforzado. Debe contar con cinturones de seguridad inerciales.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Mobiliario: Mueble con espacio para alojar instrumental médico, puertas corredizas con terminaciones en aluminio y plástico. Deben estar desarrollados con materiales certificados con ensayos de inflamabilidad.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Camilla para pacientes de aluminio y acero inoxidable, de patas plegables con ruedas giratorias y bloqueo antideslizante. Debe cumplir con Normas UNE EN 1865 y poseer inscripción de ANMAT. Tabla de raquis plástica incorporada, guardada bajo camilla.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Dos tubos de Oxígeno no menores a 2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mts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cúbicos, con soporte doble, regulador de oxígeno y manguera atoxica.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Regulador de Oxígeno Kg/Kg, con toma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diss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doble y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Flowmeter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Rotulado exterior: cuatro palabras “ambulancia”, dos símbolos de vida y detalle de la institución.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Silla de ruedas en perfiles a aluminio, plegable con cinturón de seguridad ventral. Ruedas de gran tamaño, giratorias y con bloqueo antideslizante. Manijas frontales y posteriores plegables. Debe cumplir con Normas UNE EN 1865 y poseer inscripción de ANMAT.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4</w:t>
            </w:r>
          </w:p>
        </w:tc>
      </w:tr>
      <w:tr w:rsidR="001A0CAA" w:rsidRPr="003C7A15" w:rsidTr="001A0CAA">
        <w:trPr>
          <w:trHeight w:val="57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lastRenderedPageBreak/>
              <w:t>4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</w:rPr>
              <w:t>Movilidad tipo utilitario con equipamiento de Ambulancia de traslado,</w:t>
            </w:r>
            <w:r w:rsidRPr="003C7A15">
              <w:rPr>
                <w:rFonts w:ascii="Times New Roman" w:hAnsi="Times New Roman"/>
                <w:sz w:val="24"/>
                <w:szCs w:val="24"/>
              </w:rPr>
              <w:t xml:space="preserve"> características: </w:t>
            </w:r>
          </w:p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sz w:val="24"/>
                <w:szCs w:val="24"/>
              </w:rPr>
              <w:t>Cilindrada no mayor a 1600 cc, combustible nafta o diesel, puerta lateral corrediza, aire acondicionado y cierre centralizado.</w:t>
            </w:r>
          </w:p>
          <w:p w:rsidR="001A0CAA" w:rsidRPr="003C7A15" w:rsidRDefault="001A0CAA" w:rsidP="00E93AF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7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Requisitos y equipamiento para las Ambulancias de Utilitario: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Aislación termo acústica: realizada con membrana termo acústica ignifuga no contaminante. 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Revestimiento interior por medio de material termo acústico no contaminante.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Piso de alto tránsito que incluya terminaciones perimetrales.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Butaca fija para médico, ubicada a la cabecera del paciente. Debe contar con cinturón de seguridad abdominal, tapizada </w:t>
            </w: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en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cuerina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lavable atóxica y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retardante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 fuego.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Barral de techo doble, con sirena de tono diferenciado y megáfono con micrófono de palma, con sistema de luces LED.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Pasamano de techo, con soporte para suero sangre corredizo.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Esmerilado de vidrios en puertas traseras y vidrios laterales, en caso de que los posea.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Asiento baulera longitudinal en material de MDF o fibra de vidrio reforzado. Debe contar con cinturones de seguridad inerciales.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Camilla para pacientes de aluminio y acero inoxidable, de patas plegables con ruedas giratorias y bloqueo antideslizante. Debe cumplir con Normas UNE EN 1865 y poseer inscripción de ANMAT.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Tomacorrientes 12V doble.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Tomacorrientes 12V para incubadora.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Iluminación interior por medio de plafones y spots, debe incluir un faro de interior trasero para iluminación de maniobras nocturnas de la camilla, por medio de luminaria LED.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Tubo de Oxígeno no menor a 1 </w:t>
            </w:r>
            <w:proofErr w:type="spellStart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mts</w:t>
            </w:r>
            <w:proofErr w:type="spellEnd"/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cúbico, con soporte doble, regulador de oxígeno y manguera atoxica.</w:t>
            </w:r>
          </w:p>
          <w:p w:rsidR="001A0CAA" w:rsidRPr="003C7A15" w:rsidRDefault="001A0CAA" w:rsidP="001A0CAA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Rotulado exterior: cuatro palabras “ambulancia”, dos símbolos de vida y detalle de la institución.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CAA" w:rsidRPr="003C7A15" w:rsidRDefault="001A0CAA" w:rsidP="00E93AF0">
            <w:pPr>
              <w:contextualSpacing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C7A15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2</w:t>
            </w:r>
          </w:p>
        </w:tc>
      </w:tr>
    </w:tbl>
    <w:p w:rsidR="00B11EBA" w:rsidRDefault="00B11EBA" w:rsidP="00B11EBA">
      <w:pPr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FD" w:rsidRDefault="004E64FD" w:rsidP="00044DD7">
      <w:pPr>
        <w:spacing w:after="0" w:line="240" w:lineRule="auto"/>
      </w:pPr>
      <w:r>
        <w:separator/>
      </w:r>
    </w:p>
  </w:endnote>
  <w:endnote w:type="continuationSeparator" w:id="0">
    <w:p w:rsidR="004E64FD" w:rsidRDefault="004E64F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FD" w:rsidRDefault="004E64FD" w:rsidP="00044DD7">
      <w:pPr>
        <w:spacing w:after="0" w:line="240" w:lineRule="auto"/>
      </w:pPr>
      <w:r>
        <w:separator/>
      </w:r>
    </w:p>
  </w:footnote>
  <w:footnote w:type="continuationSeparator" w:id="0">
    <w:p w:rsidR="004E64FD" w:rsidRDefault="004E64F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1403</Words>
  <Characters>7718</Characters>
  <Application>Microsoft Office Word</Application>
  <DocSecurity>0</DocSecurity>
  <Lines>64</Lines>
  <Paragraphs>18</Paragraphs>
  <ScaleCrop>false</ScaleCrop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149</cp:revision>
  <dcterms:created xsi:type="dcterms:W3CDTF">2019-01-14T11:30:00Z</dcterms:created>
  <dcterms:modified xsi:type="dcterms:W3CDTF">2019-12-06T15:16:00Z</dcterms:modified>
</cp:coreProperties>
</file>