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2B" w:rsidRPr="002F112B" w:rsidRDefault="002F112B" w:rsidP="002F112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12B">
        <w:rPr>
          <w:rFonts w:ascii="Arial" w:hAnsi="Arial" w:cs="Arial"/>
          <w:b/>
          <w:sz w:val="28"/>
          <w:szCs w:val="28"/>
          <w:u w:val="single"/>
        </w:rPr>
        <w:t xml:space="preserve">COMPRA DIRECTA  N° </w:t>
      </w:r>
      <w:r w:rsidR="00364432">
        <w:rPr>
          <w:rFonts w:ascii="Arial" w:hAnsi="Arial" w:cs="Arial"/>
          <w:b/>
          <w:sz w:val="28"/>
          <w:szCs w:val="28"/>
          <w:u w:val="single"/>
        </w:rPr>
        <w:t>83</w:t>
      </w:r>
      <w:r w:rsidRPr="002F112B">
        <w:rPr>
          <w:rFonts w:ascii="Arial" w:hAnsi="Arial" w:cs="Arial"/>
          <w:b/>
          <w:sz w:val="28"/>
          <w:szCs w:val="28"/>
          <w:u w:val="single"/>
        </w:rPr>
        <w:t>/19</w:t>
      </w:r>
    </w:p>
    <w:p w:rsidR="00CB1662" w:rsidRDefault="00B027E4" w:rsidP="008212DA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4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378"/>
        <w:gridCol w:w="1418"/>
      </w:tblGrid>
      <w:tr w:rsidR="00364432" w:rsidRPr="0087466F" w:rsidTr="00364432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32" w:rsidRPr="0087466F" w:rsidRDefault="00364432" w:rsidP="00CE19EA">
            <w:pPr>
              <w:contextualSpacing/>
              <w:jc w:val="both"/>
              <w:rPr>
                <w:b/>
              </w:rPr>
            </w:pPr>
            <w:proofErr w:type="spellStart"/>
            <w:r w:rsidRPr="0087466F">
              <w:rPr>
                <w:b/>
              </w:rPr>
              <w:t>Reng</w:t>
            </w:r>
            <w:proofErr w:type="spellEnd"/>
            <w:r w:rsidRPr="0087466F">
              <w:rPr>
                <w:b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32" w:rsidRPr="0087466F" w:rsidRDefault="00364432" w:rsidP="00CE19EA">
            <w:pPr>
              <w:contextualSpacing/>
              <w:jc w:val="both"/>
              <w:rPr>
                <w:b/>
              </w:rPr>
            </w:pPr>
            <w:r w:rsidRPr="0087466F">
              <w:rPr>
                <w:b/>
              </w:rPr>
              <w:t xml:space="preserve">Detalle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32" w:rsidRPr="0087466F" w:rsidRDefault="00364432" w:rsidP="00CE19EA">
            <w:pPr>
              <w:contextualSpacing/>
              <w:jc w:val="both"/>
              <w:rPr>
                <w:b/>
              </w:rPr>
            </w:pPr>
            <w:r w:rsidRPr="0087466F">
              <w:rPr>
                <w:b/>
              </w:rPr>
              <w:t>Cantidad</w:t>
            </w:r>
          </w:p>
        </w:tc>
      </w:tr>
      <w:tr w:rsidR="00364432" w:rsidRPr="0087466F" w:rsidTr="00364432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32" w:rsidRPr="0087466F" w:rsidRDefault="00364432" w:rsidP="00CE19EA">
            <w:pPr>
              <w:contextualSpacing/>
              <w:jc w:val="both"/>
            </w:pPr>
            <w:r w:rsidRPr="0087466F"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432" w:rsidRPr="0087466F" w:rsidRDefault="00364432" w:rsidP="00CE19EA">
            <w:pPr>
              <w:jc w:val="both"/>
            </w:pPr>
            <w:r w:rsidRPr="0087466F">
              <w:t xml:space="preserve">Monitor de signos vitales: Medición de ECG, Respiración, Temperatura, Presión no invasiva, Saturación de Oxígeno. Pantalla Táctil a color de al menos 11” de alta resolución de 800x600 y un máximo de 8 trazas. Batería interna recargable con autonomía de al menos 4 horas de uso continuo. Luz de alarma visible desde los 360 grados. Debe incluir registrador térmico de 3 trazos para informes. Debe contar con almacenamiento de datos con al menos 48 horas de registro completo, </w:t>
            </w:r>
            <w:proofErr w:type="gramStart"/>
            <w:r w:rsidRPr="0087466F">
              <w:t>al</w:t>
            </w:r>
            <w:proofErr w:type="gramEnd"/>
            <w:r w:rsidRPr="0087466F">
              <w:t xml:space="preserve"> menos 100 horas de tendencias gráficas y tabulares. Debe poseer capacidad LAN y </w:t>
            </w:r>
            <w:proofErr w:type="spellStart"/>
            <w:r w:rsidRPr="0087466F">
              <w:t>Wifi</w:t>
            </w:r>
            <w:proofErr w:type="spellEnd"/>
            <w:r w:rsidRPr="0087466F">
              <w:t xml:space="preserve">, puerto USB para transferir datos y actualizaciones. Apto para uso en adultos, niños y neonatal. Debe contar con registro de tendencias, alarmas audibles y visuales ajustables por el usuario, interfaz para dispositivos periféricos, salida sincronismo desfibrilador. Accesorios que deben incluirse en la propuesta: 1 (un) cable paciente ECG 5 derivaciones, 1 (un) cable extensión spo2, 1 (un) sensor de dedo p/spo2, 1 (un) manguera </w:t>
            </w:r>
            <w:proofErr w:type="spellStart"/>
            <w:r w:rsidRPr="0087466F">
              <w:t>nibp</w:t>
            </w:r>
            <w:proofErr w:type="spellEnd"/>
            <w:r w:rsidRPr="0087466F">
              <w:t xml:space="preserve">, 1 (un) manguito </w:t>
            </w:r>
            <w:proofErr w:type="spellStart"/>
            <w:r w:rsidRPr="0087466F">
              <w:t>nibp</w:t>
            </w:r>
            <w:proofErr w:type="spellEnd"/>
            <w:r w:rsidRPr="0087466F">
              <w:t>, 2 (dos) sensores de temperatura piel, 2 (dos) cables presión invasiva, 1 (un) cable alimentación 220VCA, batería recargable, 1 (un) soporte de pared.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432" w:rsidRPr="0087466F" w:rsidRDefault="00364432" w:rsidP="00CE19EA">
            <w:pPr>
              <w:contextualSpacing/>
              <w:jc w:val="both"/>
            </w:pPr>
            <w:r w:rsidRPr="0087466F">
              <w:t>1</w:t>
            </w:r>
          </w:p>
        </w:tc>
      </w:tr>
      <w:tr w:rsidR="00364432" w:rsidRPr="0087466F" w:rsidTr="00364432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32" w:rsidRPr="0087466F" w:rsidRDefault="00364432" w:rsidP="00CE19EA">
            <w:pPr>
              <w:contextualSpacing/>
              <w:jc w:val="both"/>
            </w:pPr>
            <w:r w:rsidRPr="0087466F"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432" w:rsidRPr="0087466F" w:rsidRDefault="00364432" w:rsidP="00CE19EA">
            <w:pPr>
              <w:jc w:val="both"/>
            </w:pPr>
            <w:r w:rsidRPr="0087466F">
              <w:t>Electrocardiógrafo digital de 2 canales: con 12 derivaciones de visualización e impresión simultáneas. Con pantalla. Con impresión térmica y modo de impresión auto/manual. Velocidad de impresión: 5mm/s, 10mm/s, 25mm/s, 50mm/s. Rango de respuesta de frecuencia de al menos: 0,05Hz-150Hz. Sensibilidad: 2.5, 5, 10, 20 (mm/</w:t>
            </w:r>
            <w:proofErr w:type="spellStart"/>
            <w:r w:rsidRPr="0087466F">
              <w:t>mV</w:t>
            </w:r>
            <w:proofErr w:type="spellEnd"/>
            <w:r w:rsidRPr="0087466F">
              <w:t xml:space="preserve">). </w:t>
            </w:r>
            <w:proofErr w:type="spellStart"/>
            <w:r w:rsidRPr="0087466F">
              <w:t>Interfase</w:t>
            </w:r>
            <w:proofErr w:type="spellEnd"/>
            <w:r w:rsidRPr="0087466F">
              <w:t xml:space="preserve"> de comunicación: RS232, USB, conexión LAN. Alimentación 220V - 50hz. Debe incluir baterías internas. Se debe entregar con un carro para transporte y todos los cables, pinzas, gel, juego de electrodos reutilizable y accesorios para su correcto funcionamiento.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432" w:rsidRPr="0087466F" w:rsidRDefault="00364432" w:rsidP="00CE19EA">
            <w:pPr>
              <w:contextualSpacing/>
              <w:jc w:val="both"/>
            </w:pPr>
            <w:r w:rsidRPr="0087466F">
              <w:t>1</w:t>
            </w:r>
          </w:p>
        </w:tc>
      </w:tr>
    </w:tbl>
    <w:p w:rsidR="00364432" w:rsidRDefault="00364432" w:rsidP="00CB6F90">
      <w:pPr>
        <w:jc w:val="center"/>
        <w:rPr>
          <w:sz w:val="40"/>
          <w:szCs w:val="40"/>
          <w:lang w:val="es-MX"/>
        </w:rPr>
      </w:pPr>
    </w:p>
    <w:p w:rsidR="00B027E4" w:rsidRPr="00B027E4" w:rsidRDefault="00B027E4" w:rsidP="00CB6F90">
      <w:pPr>
        <w:jc w:val="center"/>
        <w:rPr>
          <w:sz w:val="40"/>
          <w:szCs w:val="40"/>
          <w:lang w:val="es-MX"/>
        </w:rPr>
      </w:pPr>
      <w:bookmarkStart w:id="0" w:name="_GoBack"/>
      <w:bookmarkEnd w:id="0"/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07" w:rsidRDefault="00125A07" w:rsidP="00044DD7">
      <w:pPr>
        <w:spacing w:after="0" w:line="240" w:lineRule="auto"/>
      </w:pPr>
      <w:r>
        <w:separator/>
      </w:r>
    </w:p>
  </w:endnote>
  <w:endnote w:type="continuationSeparator" w:id="0">
    <w:p w:rsidR="00125A07" w:rsidRDefault="00125A07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07" w:rsidRDefault="00125A07" w:rsidP="00044DD7">
      <w:pPr>
        <w:spacing w:after="0" w:line="240" w:lineRule="auto"/>
      </w:pPr>
      <w:r>
        <w:separator/>
      </w:r>
    </w:p>
  </w:footnote>
  <w:footnote w:type="continuationSeparator" w:id="0">
    <w:p w:rsidR="00125A07" w:rsidRDefault="00125A07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24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0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33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9"/>
  </w:num>
  <w:num w:numId="5">
    <w:abstractNumId w:val="23"/>
  </w:num>
  <w:num w:numId="6">
    <w:abstractNumId w:val="26"/>
  </w:num>
  <w:num w:numId="7">
    <w:abstractNumId w:val="31"/>
  </w:num>
  <w:num w:numId="8">
    <w:abstractNumId w:val="18"/>
  </w:num>
  <w:num w:numId="9">
    <w:abstractNumId w:val="5"/>
  </w:num>
  <w:num w:numId="10">
    <w:abstractNumId w:val="32"/>
  </w:num>
  <w:num w:numId="11">
    <w:abstractNumId w:val="12"/>
  </w:num>
  <w:num w:numId="12">
    <w:abstractNumId w:val="21"/>
  </w:num>
  <w:num w:numId="13">
    <w:abstractNumId w:val="17"/>
  </w:num>
  <w:num w:numId="14">
    <w:abstractNumId w:val="34"/>
  </w:num>
  <w:num w:numId="15">
    <w:abstractNumId w:val="24"/>
  </w:num>
  <w:num w:numId="16">
    <w:abstractNumId w:val="6"/>
  </w:num>
  <w:num w:numId="17">
    <w:abstractNumId w:val="35"/>
  </w:num>
  <w:num w:numId="18">
    <w:abstractNumId w:val="7"/>
  </w:num>
  <w:num w:numId="19">
    <w:abstractNumId w:val="25"/>
  </w:num>
  <w:num w:numId="20">
    <w:abstractNumId w:val="33"/>
  </w:num>
  <w:num w:numId="21">
    <w:abstractNumId w:val="19"/>
  </w:num>
  <w:num w:numId="22">
    <w:abstractNumId w:val="2"/>
  </w:num>
  <w:num w:numId="23">
    <w:abstractNumId w:val="27"/>
  </w:num>
  <w:num w:numId="24">
    <w:abstractNumId w:val="30"/>
  </w:num>
  <w:num w:numId="25">
    <w:abstractNumId w:val="4"/>
  </w:num>
  <w:num w:numId="26">
    <w:abstractNumId w:val="0"/>
  </w:num>
  <w:num w:numId="27">
    <w:abstractNumId w:val="22"/>
  </w:num>
  <w:num w:numId="28">
    <w:abstractNumId w:val="9"/>
  </w:num>
  <w:num w:numId="29">
    <w:abstractNumId w:val="15"/>
  </w:num>
  <w:num w:numId="30">
    <w:abstractNumId w:val="20"/>
  </w:num>
  <w:num w:numId="31">
    <w:abstractNumId w:val="11"/>
  </w:num>
  <w:num w:numId="32">
    <w:abstractNumId w:val="8"/>
  </w:num>
  <w:num w:numId="33">
    <w:abstractNumId w:val="28"/>
  </w:num>
  <w:num w:numId="34">
    <w:abstractNumId w:val="16"/>
  </w:num>
  <w:num w:numId="35">
    <w:abstractNumId w:val="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3D2"/>
    <w:rsid w:val="00036509"/>
    <w:rsid w:val="00040864"/>
    <w:rsid w:val="00040B35"/>
    <w:rsid w:val="00044DD7"/>
    <w:rsid w:val="00046174"/>
    <w:rsid w:val="000618FB"/>
    <w:rsid w:val="000842DC"/>
    <w:rsid w:val="000953AB"/>
    <w:rsid w:val="0009793B"/>
    <w:rsid w:val="000A173C"/>
    <w:rsid w:val="000C500F"/>
    <w:rsid w:val="000E0AEE"/>
    <w:rsid w:val="000E190E"/>
    <w:rsid w:val="000F556B"/>
    <w:rsid w:val="00104A61"/>
    <w:rsid w:val="00111306"/>
    <w:rsid w:val="00124D20"/>
    <w:rsid w:val="00125A07"/>
    <w:rsid w:val="00150C4C"/>
    <w:rsid w:val="001564AA"/>
    <w:rsid w:val="00161FFB"/>
    <w:rsid w:val="00180392"/>
    <w:rsid w:val="00183B31"/>
    <w:rsid w:val="0018653B"/>
    <w:rsid w:val="001870EF"/>
    <w:rsid w:val="001875B0"/>
    <w:rsid w:val="0019343E"/>
    <w:rsid w:val="00195E55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91C48"/>
    <w:rsid w:val="00296C9A"/>
    <w:rsid w:val="002C5600"/>
    <w:rsid w:val="002C77DF"/>
    <w:rsid w:val="002F112B"/>
    <w:rsid w:val="00303EA7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B2B95"/>
    <w:rsid w:val="003D2A12"/>
    <w:rsid w:val="003E0194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660A"/>
    <w:rsid w:val="00471317"/>
    <w:rsid w:val="0048418D"/>
    <w:rsid w:val="004B35DA"/>
    <w:rsid w:val="004B4E71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4AD3"/>
    <w:rsid w:val="006E65ED"/>
    <w:rsid w:val="006F0A1E"/>
    <w:rsid w:val="006F2E28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5D2F"/>
    <w:rsid w:val="008D6E84"/>
    <w:rsid w:val="008E6525"/>
    <w:rsid w:val="00943D47"/>
    <w:rsid w:val="00962450"/>
    <w:rsid w:val="00970A57"/>
    <w:rsid w:val="00981FE2"/>
    <w:rsid w:val="009947F7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34DF1"/>
    <w:rsid w:val="00A4757B"/>
    <w:rsid w:val="00A62AA2"/>
    <w:rsid w:val="00A71CA9"/>
    <w:rsid w:val="00A721C1"/>
    <w:rsid w:val="00A8634C"/>
    <w:rsid w:val="00A92534"/>
    <w:rsid w:val="00A94AEC"/>
    <w:rsid w:val="00AA5E6D"/>
    <w:rsid w:val="00AB16C5"/>
    <w:rsid w:val="00AB19F7"/>
    <w:rsid w:val="00AD5087"/>
    <w:rsid w:val="00AE237B"/>
    <w:rsid w:val="00AE70F9"/>
    <w:rsid w:val="00AF0D5D"/>
    <w:rsid w:val="00B027E4"/>
    <w:rsid w:val="00B03D79"/>
    <w:rsid w:val="00B3243B"/>
    <w:rsid w:val="00B42AD0"/>
    <w:rsid w:val="00B7442B"/>
    <w:rsid w:val="00B7710E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6EEF"/>
    <w:rsid w:val="00C11D91"/>
    <w:rsid w:val="00C1571A"/>
    <w:rsid w:val="00C508AE"/>
    <w:rsid w:val="00C50D44"/>
    <w:rsid w:val="00C532DA"/>
    <w:rsid w:val="00C610F4"/>
    <w:rsid w:val="00C93D31"/>
    <w:rsid w:val="00C95523"/>
    <w:rsid w:val="00CA19A1"/>
    <w:rsid w:val="00CB1662"/>
    <w:rsid w:val="00CB6545"/>
    <w:rsid w:val="00CB6F90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97EB8"/>
    <w:rsid w:val="00EA44ED"/>
    <w:rsid w:val="00EA5666"/>
    <w:rsid w:val="00EB0C17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2591F"/>
    <w:rsid w:val="00F2603E"/>
    <w:rsid w:val="00F404A2"/>
    <w:rsid w:val="00F45C27"/>
    <w:rsid w:val="00F5660A"/>
    <w:rsid w:val="00F56867"/>
    <w:rsid w:val="00F708E6"/>
    <w:rsid w:val="00F74178"/>
    <w:rsid w:val="00F75C83"/>
    <w:rsid w:val="00F91C78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343</Words>
  <Characters>1889</Characters>
  <Application>Microsoft Office Word</Application>
  <DocSecurity>0</DocSecurity>
  <Lines>15</Lines>
  <Paragraphs>4</Paragraphs>
  <ScaleCrop>false</ScaleCrop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136</cp:revision>
  <dcterms:created xsi:type="dcterms:W3CDTF">2019-01-14T11:30:00Z</dcterms:created>
  <dcterms:modified xsi:type="dcterms:W3CDTF">2019-11-15T12:39:00Z</dcterms:modified>
</cp:coreProperties>
</file>