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8B636B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41B4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3509F4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CC0284" w:rsidRDefault="00CC0284" w:rsidP="00CC0284">
      <w:pPr>
        <w:jc w:val="center"/>
        <w:rPr>
          <w:rFonts w:ascii="Bookman Old Style" w:hAnsi="Bookman Old Style"/>
          <w:sz w:val="18"/>
          <w:szCs w:val="18"/>
        </w:rPr>
      </w:pPr>
      <w:r w:rsidRPr="00CC0284">
        <w:rPr>
          <w:rFonts w:ascii="Bookman Old Style" w:hAnsi="Bookman Old Style"/>
          <w:sz w:val="18"/>
          <w:szCs w:val="18"/>
        </w:rPr>
        <w:t>“2018-Año del Bicentenario de la Batalla de Maipú”</w:t>
      </w:r>
    </w:p>
    <w:p w:rsidR="001F716F" w:rsidRDefault="001F716F" w:rsidP="001F716F">
      <w:pPr>
        <w:tabs>
          <w:tab w:val="left" w:pos="4820"/>
          <w:tab w:val="left" w:pos="5245"/>
        </w:tabs>
        <w:ind w:left="4617"/>
        <w:rPr>
          <w:b/>
          <w:sz w:val="22"/>
          <w:szCs w:val="22"/>
        </w:rPr>
      </w:pPr>
    </w:p>
    <w:p w:rsidR="007E2AB6" w:rsidRPr="001F716F" w:rsidRDefault="00CC0284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CONCURSO DE PRECIOS  N° </w:t>
      </w:r>
      <w:r w:rsidR="008B636B">
        <w:rPr>
          <w:b/>
          <w:sz w:val="22"/>
          <w:szCs w:val="22"/>
        </w:rPr>
        <w:t>3</w:t>
      </w:r>
      <w:r w:rsidR="00E46706">
        <w:rPr>
          <w:b/>
          <w:sz w:val="22"/>
          <w:szCs w:val="22"/>
        </w:rPr>
        <w:t>7</w:t>
      </w:r>
      <w:r w:rsidR="00C163DA" w:rsidRPr="001F716F">
        <w:rPr>
          <w:b/>
          <w:sz w:val="22"/>
          <w:szCs w:val="22"/>
        </w:rPr>
        <w:t>/1</w:t>
      </w:r>
      <w:r w:rsidR="00933130" w:rsidRPr="001F716F">
        <w:rPr>
          <w:b/>
          <w:sz w:val="22"/>
          <w:szCs w:val="22"/>
        </w:rPr>
        <w:t xml:space="preserve">8 </w:t>
      </w:r>
      <w:r w:rsidR="00933130" w:rsidRPr="001F716F">
        <w:rPr>
          <w:sz w:val="22"/>
          <w:szCs w:val="22"/>
        </w:rPr>
        <w:t>Ley N°</w:t>
      </w:r>
      <w:r w:rsidR="00C163DA" w:rsidRPr="001F716F">
        <w:rPr>
          <w:sz w:val="22"/>
          <w:szCs w:val="22"/>
        </w:rPr>
        <w:t xml:space="preserve"> </w:t>
      </w:r>
      <w:r w:rsidR="00281A1D" w:rsidRPr="001F716F">
        <w:rPr>
          <w:sz w:val="22"/>
          <w:szCs w:val="22"/>
        </w:rPr>
        <w:t xml:space="preserve">55-I </w:t>
      </w:r>
      <w:r w:rsidR="00C163DA" w:rsidRPr="001F716F">
        <w:rPr>
          <w:sz w:val="22"/>
          <w:szCs w:val="22"/>
        </w:rPr>
        <w:t xml:space="preserve">Art. 69 Inc. 2  de la Ley de Contabilidad de la Provincia de San Juan-Decreto Nº 4132-S.P.S-78  Decreto Acuerdo N° 0042-E-79 </w:t>
      </w:r>
      <w:r w:rsidR="001D37EF" w:rsidRPr="001F716F">
        <w:rPr>
          <w:sz w:val="22"/>
          <w:szCs w:val="22"/>
        </w:rPr>
        <w:t xml:space="preserve"> </w:t>
      </w:r>
      <w:r w:rsidR="00A56E05" w:rsidRPr="001F716F">
        <w:rPr>
          <w:sz w:val="22"/>
          <w:szCs w:val="22"/>
        </w:rPr>
        <w:t>Resolución</w:t>
      </w:r>
      <w:r w:rsidR="00C163DA" w:rsidRPr="001F716F">
        <w:rPr>
          <w:sz w:val="22"/>
          <w:szCs w:val="22"/>
        </w:rPr>
        <w:t xml:space="preserve"> N° 803-M</w:t>
      </w:r>
      <w:r w:rsidR="00A56E05" w:rsidRPr="001F716F">
        <w:rPr>
          <w:sz w:val="22"/>
          <w:szCs w:val="22"/>
        </w:rPr>
        <w:t xml:space="preserve">.S.P </w:t>
      </w:r>
      <w:r w:rsidR="00C163DA" w:rsidRPr="001F716F">
        <w:rPr>
          <w:sz w:val="22"/>
          <w:szCs w:val="22"/>
        </w:rPr>
        <w:t>-94 - Decreto N° 1663 SESP-99  Decreto N° 0066 SESP-</w:t>
      </w:r>
      <w:r w:rsidR="00933130" w:rsidRPr="001F716F">
        <w:rPr>
          <w:sz w:val="22"/>
          <w:szCs w:val="22"/>
        </w:rPr>
        <w:t xml:space="preserve">97  y Decreto Acuerdo Nº </w:t>
      </w:r>
      <w:r w:rsidR="008B636B">
        <w:rPr>
          <w:sz w:val="22"/>
          <w:szCs w:val="22"/>
        </w:rPr>
        <w:t>0039</w:t>
      </w:r>
      <w:r w:rsidR="00933130" w:rsidRPr="001F716F">
        <w:rPr>
          <w:sz w:val="22"/>
          <w:szCs w:val="22"/>
        </w:rPr>
        <w:t>/</w:t>
      </w:r>
      <w:r w:rsidR="008B636B">
        <w:rPr>
          <w:sz w:val="22"/>
          <w:szCs w:val="22"/>
        </w:rPr>
        <w:t>18</w:t>
      </w:r>
      <w:r w:rsidR="00933130" w:rsidRPr="001F716F">
        <w:rPr>
          <w:sz w:val="22"/>
          <w:szCs w:val="22"/>
        </w:rPr>
        <w:t>, A</w:t>
      </w:r>
      <w:r w:rsidR="00C163DA" w:rsidRPr="001F716F">
        <w:rPr>
          <w:sz w:val="22"/>
          <w:szCs w:val="22"/>
        </w:rPr>
        <w:t>utorizado por Re</w:t>
      </w:r>
      <w:r w:rsidR="001D37EF" w:rsidRPr="001F716F">
        <w:rPr>
          <w:sz w:val="22"/>
          <w:szCs w:val="22"/>
        </w:rPr>
        <w:t>s</w:t>
      </w:r>
      <w:r w:rsidR="00C163DA" w:rsidRPr="001F716F">
        <w:rPr>
          <w:sz w:val="22"/>
          <w:szCs w:val="22"/>
        </w:rPr>
        <w:t xml:space="preserve">olución N° </w:t>
      </w:r>
      <w:r w:rsidR="00E46706">
        <w:rPr>
          <w:sz w:val="22"/>
          <w:szCs w:val="22"/>
        </w:rPr>
        <w:t>1815</w:t>
      </w:r>
      <w:r w:rsidR="00933130" w:rsidRPr="001F716F">
        <w:rPr>
          <w:sz w:val="22"/>
          <w:szCs w:val="22"/>
        </w:rPr>
        <w:t>-</w:t>
      </w:r>
      <w:r w:rsidR="000D3FC4" w:rsidRPr="001F716F">
        <w:rPr>
          <w:sz w:val="22"/>
          <w:szCs w:val="22"/>
        </w:rPr>
        <w:t xml:space="preserve"> </w:t>
      </w:r>
      <w:r w:rsidR="00C163DA" w:rsidRPr="001F716F">
        <w:rPr>
          <w:sz w:val="22"/>
          <w:szCs w:val="22"/>
        </w:rPr>
        <w:t xml:space="preserve"> HPG</w:t>
      </w:r>
      <w:r w:rsidRPr="001F716F">
        <w:rPr>
          <w:sz w:val="22"/>
          <w:szCs w:val="22"/>
        </w:rPr>
        <w:t xml:space="preserve">DGR-18  del </w:t>
      </w:r>
      <w:r w:rsidR="00E46706">
        <w:rPr>
          <w:sz w:val="22"/>
          <w:szCs w:val="22"/>
        </w:rPr>
        <w:t>04</w:t>
      </w:r>
      <w:r w:rsidRPr="001F716F">
        <w:rPr>
          <w:sz w:val="22"/>
          <w:szCs w:val="22"/>
        </w:rPr>
        <w:t xml:space="preserve"> de </w:t>
      </w:r>
      <w:r w:rsidR="00E46706">
        <w:rPr>
          <w:sz w:val="22"/>
          <w:szCs w:val="22"/>
        </w:rPr>
        <w:t xml:space="preserve"> Dici</w:t>
      </w:r>
      <w:r w:rsidR="006C5EBA" w:rsidRPr="001F716F">
        <w:rPr>
          <w:sz w:val="22"/>
          <w:szCs w:val="22"/>
        </w:rPr>
        <w:t>embre</w:t>
      </w:r>
      <w:r w:rsidR="00933130" w:rsidRPr="001F716F">
        <w:rPr>
          <w:sz w:val="22"/>
          <w:szCs w:val="22"/>
        </w:rPr>
        <w:t xml:space="preserve"> de 2018.</w:t>
      </w:r>
    </w:p>
    <w:p w:rsidR="001F716F" w:rsidRPr="001F716F" w:rsidRDefault="00E3245B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>EXPEDIENTE Nº 802-</w:t>
      </w:r>
      <w:r w:rsidR="00CC0284" w:rsidRPr="001F716F">
        <w:rPr>
          <w:b/>
          <w:sz w:val="22"/>
          <w:szCs w:val="22"/>
        </w:rPr>
        <w:t>0</w:t>
      </w:r>
      <w:r w:rsidR="006C5EBA" w:rsidRPr="001F716F">
        <w:rPr>
          <w:b/>
          <w:sz w:val="22"/>
          <w:szCs w:val="22"/>
        </w:rPr>
        <w:t>02</w:t>
      </w:r>
      <w:r w:rsidR="00E46706">
        <w:rPr>
          <w:b/>
          <w:sz w:val="22"/>
          <w:szCs w:val="22"/>
        </w:rPr>
        <w:t>396</w:t>
      </w:r>
      <w:r w:rsidR="007E2AB6" w:rsidRPr="001F716F">
        <w:rPr>
          <w:b/>
          <w:sz w:val="22"/>
          <w:szCs w:val="22"/>
        </w:rPr>
        <w:t xml:space="preserve"> / </w:t>
      </w:r>
      <w:r w:rsidRPr="001F716F">
        <w:rPr>
          <w:b/>
          <w:sz w:val="22"/>
          <w:szCs w:val="22"/>
        </w:rPr>
        <w:t xml:space="preserve"> 2.01</w:t>
      </w:r>
      <w:r w:rsidR="00717100" w:rsidRPr="001F716F">
        <w:rPr>
          <w:b/>
          <w:sz w:val="22"/>
          <w:szCs w:val="22"/>
        </w:rPr>
        <w:t>8</w:t>
      </w:r>
      <w:r w:rsidR="00422DA7" w:rsidRPr="001F716F">
        <w:rPr>
          <w:b/>
          <w:sz w:val="22"/>
          <w:szCs w:val="22"/>
        </w:rPr>
        <w:t>.-</w:t>
      </w:r>
    </w:p>
    <w:p w:rsidR="00C70F7E" w:rsidRPr="001F716F" w:rsidRDefault="00376E4B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 xml:space="preserve">VALOR DE PLIEGO: </w:t>
      </w:r>
      <w:r w:rsidRPr="001F716F">
        <w:rPr>
          <w:sz w:val="22"/>
          <w:szCs w:val="22"/>
        </w:rPr>
        <w:t xml:space="preserve">$ </w:t>
      </w:r>
      <w:r w:rsidR="00CC0284" w:rsidRPr="001F716F">
        <w:rPr>
          <w:sz w:val="22"/>
          <w:szCs w:val="22"/>
        </w:rPr>
        <w:t>1.</w:t>
      </w:r>
      <w:r w:rsidR="00E46706">
        <w:rPr>
          <w:sz w:val="22"/>
          <w:szCs w:val="22"/>
        </w:rPr>
        <w:t>0</w:t>
      </w:r>
      <w:r w:rsidRPr="001F716F">
        <w:rPr>
          <w:sz w:val="22"/>
          <w:szCs w:val="22"/>
        </w:rPr>
        <w:t>00</w:t>
      </w:r>
    </w:p>
    <w:p w:rsidR="001F716F" w:rsidRDefault="00E3245B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>REF</w:t>
      </w:r>
      <w:r w:rsidRPr="001F716F">
        <w:rPr>
          <w:sz w:val="22"/>
          <w:szCs w:val="22"/>
        </w:rPr>
        <w:t>.:</w:t>
      </w:r>
      <w:r w:rsidR="00893301" w:rsidRPr="001F716F">
        <w:rPr>
          <w:sz w:val="22"/>
          <w:szCs w:val="22"/>
        </w:rPr>
        <w:t xml:space="preserve"> </w:t>
      </w:r>
      <w:r w:rsidR="008B636B">
        <w:rPr>
          <w:sz w:val="22"/>
          <w:szCs w:val="22"/>
        </w:rPr>
        <w:t xml:space="preserve">DEPARTAMENTO MANTENIMIENTO SOLICITA LA </w:t>
      </w:r>
      <w:r w:rsidR="006C5EBA" w:rsidRPr="001F716F">
        <w:rPr>
          <w:sz w:val="22"/>
          <w:szCs w:val="22"/>
        </w:rPr>
        <w:t xml:space="preserve">FABRICACIÓN </w:t>
      </w:r>
      <w:r w:rsidR="00E46706">
        <w:rPr>
          <w:sz w:val="22"/>
          <w:szCs w:val="22"/>
        </w:rPr>
        <w:t xml:space="preserve">E INSTALACIÓN DE ELEMENTOS PARA EL SERVICIO DE ENDOSCOPIA </w:t>
      </w:r>
      <w:r w:rsidR="008B636B">
        <w:rPr>
          <w:sz w:val="22"/>
          <w:szCs w:val="22"/>
        </w:rPr>
        <w:t xml:space="preserve">DE </w:t>
      </w:r>
      <w:r w:rsidR="000D3FC4" w:rsidRPr="001F716F">
        <w:rPr>
          <w:sz w:val="22"/>
          <w:szCs w:val="22"/>
        </w:rPr>
        <w:t>ESTE H.P.D.D.G.R.</w:t>
      </w:r>
    </w:p>
    <w:p w:rsidR="001F716F" w:rsidRPr="00E46706" w:rsidRDefault="00E2795C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APERTURA: </w:t>
      </w:r>
      <w:r w:rsidR="00E46706" w:rsidRPr="00E46706">
        <w:rPr>
          <w:sz w:val="22"/>
          <w:szCs w:val="22"/>
        </w:rPr>
        <w:t>18</w:t>
      </w:r>
      <w:r w:rsidR="00EB1310" w:rsidRPr="001F716F">
        <w:rPr>
          <w:sz w:val="22"/>
          <w:szCs w:val="22"/>
        </w:rPr>
        <w:t>/</w:t>
      </w:r>
      <w:r w:rsidR="00E46706">
        <w:rPr>
          <w:sz w:val="22"/>
          <w:szCs w:val="22"/>
        </w:rPr>
        <w:t>12</w:t>
      </w:r>
      <w:r w:rsidRPr="001F716F">
        <w:rPr>
          <w:sz w:val="22"/>
          <w:szCs w:val="22"/>
        </w:rPr>
        <w:t>/201</w:t>
      </w:r>
      <w:r w:rsidR="0024427F" w:rsidRPr="001F716F">
        <w:rPr>
          <w:sz w:val="22"/>
          <w:szCs w:val="22"/>
        </w:rPr>
        <w:t>8</w:t>
      </w:r>
      <w:r w:rsidRPr="001F716F">
        <w:rPr>
          <w:b/>
          <w:sz w:val="22"/>
          <w:szCs w:val="22"/>
        </w:rPr>
        <w:t xml:space="preserve">   HORA: </w:t>
      </w:r>
      <w:r w:rsidR="00E46706" w:rsidRPr="00E46706">
        <w:rPr>
          <w:sz w:val="22"/>
          <w:szCs w:val="22"/>
        </w:rPr>
        <w:t>09</w:t>
      </w:r>
      <w:r w:rsidRPr="00E46706">
        <w:rPr>
          <w:sz w:val="22"/>
          <w:szCs w:val="22"/>
        </w:rPr>
        <w:t>:</w:t>
      </w:r>
      <w:r w:rsidR="00E46706" w:rsidRPr="00E46706">
        <w:rPr>
          <w:sz w:val="22"/>
          <w:szCs w:val="22"/>
        </w:rPr>
        <w:t>3</w:t>
      </w:r>
      <w:r w:rsidRPr="00E46706">
        <w:rPr>
          <w:sz w:val="22"/>
          <w:szCs w:val="22"/>
        </w:rPr>
        <w:t>0</w:t>
      </w:r>
    </w:p>
    <w:p w:rsidR="00F254E0" w:rsidRDefault="00E2795C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  <w:u w:val="single"/>
        </w:rPr>
        <w:t>LUGAR DE RECEPCION Y APERTURA</w:t>
      </w:r>
      <w:r w:rsidRPr="001F716F">
        <w:rPr>
          <w:sz w:val="22"/>
          <w:szCs w:val="22"/>
        </w:rPr>
        <w:t xml:space="preserve">: </w:t>
      </w:r>
      <w:r w:rsidR="00F97ABD" w:rsidRPr="00F97ABD">
        <w:rPr>
          <w:b/>
          <w:sz w:val="22"/>
          <w:szCs w:val="22"/>
        </w:rPr>
        <w:t>EDIFICIO</w:t>
      </w:r>
      <w:r w:rsidR="00F97ABD">
        <w:rPr>
          <w:sz w:val="22"/>
          <w:szCs w:val="22"/>
        </w:rPr>
        <w:t xml:space="preserve"> </w:t>
      </w:r>
      <w:r w:rsidR="00E46706" w:rsidRPr="00E46706">
        <w:rPr>
          <w:b/>
          <w:sz w:val="22"/>
          <w:szCs w:val="22"/>
        </w:rPr>
        <w:t>VERDE 2º PISO SECTOR SUROESTE SALA DE APERTURAS.</w:t>
      </w:r>
    </w:p>
    <w:p w:rsidR="00F97ABD" w:rsidRPr="00F254E0" w:rsidRDefault="00F97ABD" w:rsidP="00E46706">
      <w:pPr>
        <w:tabs>
          <w:tab w:val="left" w:pos="4820"/>
          <w:tab w:val="left" w:pos="5245"/>
        </w:tabs>
        <w:ind w:left="4617"/>
        <w:jc w:val="both"/>
        <w:rPr>
          <w:b/>
          <w:szCs w:val="22"/>
        </w:rPr>
      </w:pPr>
    </w:p>
    <w:p w:rsidR="00F254E0" w:rsidRDefault="00F254E0" w:rsidP="00A048B6">
      <w:pPr>
        <w:rPr>
          <w:b/>
          <w:sz w:val="22"/>
          <w:szCs w:val="22"/>
        </w:rPr>
      </w:pPr>
    </w:p>
    <w:p w:rsidR="00E33C5C" w:rsidRPr="00F97ABD" w:rsidRDefault="0028735A" w:rsidP="00A048B6">
      <w:pPr>
        <w:rPr>
          <w:b/>
        </w:rPr>
      </w:pPr>
      <w:r w:rsidRPr="00F97ABD">
        <w:rPr>
          <w:b/>
        </w:rPr>
        <w:t>SOLICITUD DE PEDIDO</w:t>
      </w:r>
    </w:p>
    <w:p w:rsidR="0028735A" w:rsidRDefault="0028735A" w:rsidP="0028735A">
      <w:pPr>
        <w:jc w:val="center"/>
        <w:rPr>
          <w:sz w:val="22"/>
          <w:szCs w:val="22"/>
          <w:u w:val="single"/>
        </w:rPr>
      </w:pP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/>
      </w:tblPr>
      <w:tblGrid>
        <w:gridCol w:w="702"/>
        <w:gridCol w:w="6386"/>
        <w:gridCol w:w="2268"/>
        <w:gridCol w:w="850"/>
      </w:tblGrid>
      <w:tr w:rsidR="0028322C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RG</w:t>
            </w:r>
          </w:p>
        </w:tc>
        <w:tc>
          <w:tcPr>
            <w:tcW w:w="6386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DETALLE</w:t>
            </w:r>
          </w:p>
        </w:tc>
        <w:tc>
          <w:tcPr>
            <w:tcW w:w="2268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PRESENTACIÓN</w:t>
            </w:r>
          </w:p>
        </w:tc>
        <w:tc>
          <w:tcPr>
            <w:tcW w:w="850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CANT</w:t>
            </w:r>
          </w:p>
        </w:tc>
      </w:tr>
      <w:tr w:rsidR="0028322C" w:rsidRPr="001F716F" w:rsidTr="0028322C">
        <w:trPr>
          <w:trHeight w:val="690"/>
        </w:trPr>
        <w:tc>
          <w:tcPr>
            <w:tcW w:w="702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1F716F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386" w:type="dxa"/>
            <w:shd w:val="clear" w:color="auto" w:fill="FFFFFF"/>
            <w:vAlign w:val="center"/>
          </w:tcPr>
          <w:p w:rsidR="003509F4" w:rsidRPr="003509F4" w:rsidRDefault="003509F4" w:rsidP="00E467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2"/>
                <w:szCs w:val="22"/>
                <w:u w:val="single"/>
                <w:lang w:val="es-AR" w:eastAsia="es-AR"/>
              </w:rPr>
            </w:pPr>
            <w:r w:rsidRPr="003509F4">
              <w:rPr>
                <w:b/>
                <w:color w:val="000000"/>
                <w:sz w:val="22"/>
                <w:szCs w:val="22"/>
                <w:u w:val="single"/>
                <w:lang w:val="es-AR" w:eastAsia="es-AR"/>
              </w:rPr>
              <w:t>FABRICACIÓN E INSTALACIÓN DE ELEMENTOS PARA EL SERVICIO DE ENDOSCOPIA</w:t>
            </w:r>
          </w:p>
          <w:p w:rsidR="00E46706" w:rsidRDefault="00E46706" w:rsidP="00E4670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es-AR" w:eastAsia="es-AR"/>
              </w:rPr>
            </w:pPr>
            <w:r w:rsidRPr="00E46706">
              <w:rPr>
                <w:color w:val="000000"/>
                <w:sz w:val="22"/>
                <w:szCs w:val="22"/>
                <w:lang w:val="es-AR" w:eastAsia="es-AR"/>
              </w:rPr>
              <w:t>JUEGO DE SOPORTES PARA COLGAR ENDOSCOPIOS EN ARMARIOS EXISTENTES. Compuesto de 2 zócalos de 97cm de ancho x 8 de altura de chapa plegada de acero inoxidable amurados en armario preexistente, con 4 soportes para cabezal de endoscopio confeccionado en chapa de acero inoxidable de 2mm con protección de material plástico torneado en un zócalo y en el otro 4 horquillas de acero inoxidable de 2mm con recubrimiento plástico para suspensión del extremo de endoscopio.</w:t>
            </w:r>
          </w:p>
          <w:p w:rsidR="00E46706" w:rsidRPr="00E46706" w:rsidRDefault="00E46706" w:rsidP="00E4670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es-AR" w:eastAsia="es-AR"/>
              </w:rPr>
            </w:pPr>
            <w:r w:rsidRPr="00E46706">
              <w:rPr>
                <w:color w:val="000000"/>
                <w:sz w:val="22"/>
                <w:szCs w:val="22"/>
                <w:lang w:val="es-AR" w:eastAsia="es-AR"/>
              </w:rPr>
              <w:t xml:space="preserve"> JUEGO DE SOPORTES PARA COLGAR ENDOSCOPIOS EN ARMARIOS EXISTENTES. Compuesto de 2 zócalos de 140cm de ancho x 8 de altura de chapa plegada de acero inoxidable amurados en armario preexistente, con 5 soportes para cabezal de endoscopio confeccionado en chapa de acero inoxidable de 2mm con protección de material plástico torneado en un zócalo y en el otro 5 horquillas de acero inoxidable de 2mm con recubrimiento plástico para suspensión del extremo de endoscopio.</w:t>
            </w:r>
          </w:p>
          <w:p w:rsidR="00E46706" w:rsidRDefault="00E46706" w:rsidP="00E4670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es-AR" w:eastAsia="es-AR"/>
              </w:rPr>
            </w:pPr>
            <w:r w:rsidRPr="00E46706">
              <w:rPr>
                <w:color w:val="000000"/>
                <w:sz w:val="22"/>
                <w:szCs w:val="22"/>
                <w:lang w:val="es-AR" w:eastAsia="es-AR"/>
              </w:rPr>
              <w:t>JUEGO DE SOPORTES PARA COLGAR ENDOSCOPIOS EN ARMARIOS EXISTENTES. Compuesto de 2 zócalos de 100cm de ancho x 8 de altura de chapa plegada de acero inoxidable acoplados en estructura de caño de acero inoxidable 20 x 20 para colocación dentro de armario preexistente, con 4 soportes para cabezal de endoscopio confeccionado en chapa de acero inoxidable de 2mm con protección de material plástico torneado en un zócalo y en el otro 4 horquillas de acero inoxidable de 2mm con recubrimiento plástico para suspensión del extremo de endoscopio.</w:t>
            </w:r>
          </w:p>
          <w:p w:rsidR="0028322C" w:rsidRPr="001F716F" w:rsidRDefault="00E46706" w:rsidP="00E4670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es-AR" w:eastAsia="es-AR"/>
              </w:rPr>
            </w:pPr>
            <w:r w:rsidRPr="00E46706">
              <w:rPr>
                <w:color w:val="000000"/>
                <w:sz w:val="22"/>
                <w:szCs w:val="22"/>
                <w:lang w:val="es-AR" w:eastAsia="es-AR"/>
              </w:rPr>
              <w:t>PERCHERO  PARA DELANTALES DE PROTECCIÓN DE PLOMO PARA RAYOS: Estructura confeccionada en caño de acero inoxidable de 30 x 30 con 2 niveles para colocación de perchas, base de chapa de acero inoxidable de 1,2</w:t>
            </w:r>
            <w:r w:rsidR="00F97ABD">
              <w:rPr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E46706">
              <w:rPr>
                <w:color w:val="000000"/>
                <w:sz w:val="22"/>
                <w:szCs w:val="22"/>
                <w:lang w:val="es-AR" w:eastAsia="es-AR"/>
              </w:rPr>
              <w:t>mm montada sobre ruedas con freno. Incluye 5 perchas de acero inoxidable con ajuste a mariposa.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322C" w:rsidRPr="001F716F" w:rsidRDefault="00E46706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F254E0" w:rsidRDefault="00F254E0" w:rsidP="002A029C">
      <w:pPr>
        <w:ind w:right="242"/>
        <w:jc w:val="both"/>
        <w:rPr>
          <w:b/>
          <w:u w:val="single"/>
        </w:rPr>
      </w:pPr>
    </w:p>
    <w:p w:rsidR="00F97ABD" w:rsidRDefault="00F97ABD" w:rsidP="00C47255">
      <w:pPr>
        <w:ind w:right="242"/>
        <w:jc w:val="both"/>
        <w:rPr>
          <w:b/>
          <w:u w:val="single"/>
        </w:rPr>
      </w:pPr>
    </w:p>
    <w:p w:rsidR="00F97ABD" w:rsidRDefault="00F97ABD" w:rsidP="00C47255">
      <w:pPr>
        <w:ind w:right="242"/>
        <w:jc w:val="both"/>
        <w:rPr>
          <w:b/>
          <w:u w:val="single"/>
        </w:rPr>
      </w:pPr>
    </w:p>
    <w:p w:rsidR="00F97ABD" w:rsidRDefault="00F97ABD" w:rsidP="00C47255">
      <w:pPr>
        <w:ind w:right="242"/>
        <w:jc w:val="both"/>
        <w:rPr>
          <w:b/>
          <w:u w:val="single"/>
        </w:rPr>
      </w:pPr>
    </w:p>
    <w:p w:rsidR="00F97ABD" w:rsidRDefault="00F97ABD" w:rsidP="00C47255">
      <w:pPr>
        <w:ind w:right="242"/>
        <w:jc w:val="both"/>
        <w:rPr>
          <w:b/>
          <w:u w:val="single"/>
        </w:rPr>
      </w:pPr>
    </w:p>
    <w:p w:rsidR="00C47255" w:rsidRDefault="00C47255" w:rsidP="00C4725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3509F4" w:rsidRPr="003509F4" w:rsidRDefault="003509F4" w:rsidP="00C47255">
      <w:pPr>
        <w:ind w:right="242"/>
        <w:jc w:val="both"/>
        <w:rPr>
          <w:sz w:val="28"/>
          <w:szCs w:val="28"/>
        </w:rPr>
      </w:pPr>
      <w:r w:rsidRPr="003509F4">
        <w:rPr>
          <w:sz w:val="28"/>
          <w:szCs w:val="28"/>
        </w:rPr>
        <w:t>Detalles de la Contratación en Resolución N° 1</w:t>
      </w:r>
      <w:r>
        <w:rPr>
          <w:sz w:val="28"/>
          <w:szCs w:val="28"/>
        </w:rPr>
        <w:t>815</w:t>
      </w:r>
      <w:r w:rsidRPr="003509F4">
        <w:rPr>
          <w:sz w:val="28"/>
          <w:szCs w:val="28"/>
        </w:rPr>
        <w:t xml:space="preserve">-H.P.D.G.R.-18, de fecha </w:t>
      </w:r>
      <w:r>
        <w:rPr>
          <w:sz w:val="28"/>
          <w:szCs w:val="28"/>
        </w:rPr>
        <w:t>04</w:t>
      </w:r>
      <w:r w:rsidRPr="003509F4">
        <w:rPr>
          <w:sz w:val="28"/>
          <w:szCs w:val="28"/>
        </w:rPr>
        <w:t xml:space="preserve"> de </w:t>
      </w:r>
      <w:r>
        <w:rPr>
          <w:sz w:val="28"/>
          <w:szCs w:val="28"/>
        </w:rPr>
        <w:t>Dic</w:t>
      </w:r>
      <w:r w:rsidRPr="003509F4">
        <w:rPr>
          <w:sz w:val="28"/>
          <w:szCs w:val="28"/>
        </w:rPr>
        <w:t>iembre de 2018.</w:t>
      </w:r>
    </w:p>
    <w:p w:rsidR="00C47255" w:rsidRPr="00624AF7" w:rsidRDefault="00C47255" w:rsidP="00C47255">
      <w:pPr>
        <w:ind w:right="242"/>
        <w:jc w:val="both"/>
        <w:rPr>
          <w:b/>
          <w:u w:val="single"/>
        </w:rPr>
      </w:pP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Las Personas Jurídicas deberán traer</w:t>
      </w:r>
      <w:r w:rsidRPr="0028322C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En caso de Personas Físicas</w:t>
      </w:r>
      <w:r w:rsidRPr="0028322C">
        <w:t>: deberá traer una copia certificada del Documento Nacional de Identidad.</w:t>
      </w:r>
    </w:p>
    <w:p w:rsidR="00C47255" w:rsidRPr="0028322C" w:rsidRDefault="00C47255" w:rsidP="00C47255">
      <w:r w:rsidRPr="0028322C">
        <w:t xml:space="preserve">                       </w:t>
      </w:r>
    </w:p>
    <w:p w:rsidR="00C47255" w:rsidRPr="0028322C" w:rsidRDefault="00C47255" w:rsidP="00C47255">
      <w:pPr>
        <w:ind w:right="242"/>
        <w:jc w:val="both"/>
      </w:pPr>
      <w:r w:rsidRPr="0028322C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C47255" w:rsidRPr="0028322C" w:rsidRDefault="00C47255" w:rsidP="00C47255">
      <w:pPr>
        <w:ind w:right="242"/>
        <w:jc w:val="both"/>
      </w:pPr>
    </w:p>
    <w:p w:rsidR="00C47255" w:rsidRPr="0028322C" w:rsidRDefault="00C47255" w:rsidP="00C47255">
      <w:pPr>
        <w:jc w:val="both"/>
      </w:pPr>
      <w:r w:rsidRPr="0028322C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C47255" w:rsidRPr="0028322C" w:rsidRDefault="00C47255" w:rsidP="00C47255">
      <w:r w:rsidRPr="0028322C">
        <w:t xml:space="preserve">       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NOTA IMPORTANTE: En caso que los productos solicitados cuenten con medidas, pesos, tamaños, etc.</w:t>
      </w:r>
      <w:r w:rsidR="00E46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variables, deberá colocar en la oferta económica exactamente las medidas, pesos, tamaños, </w:t>
      </w:r>
      <w:r w:rsidR="00E46706" w:rsidRPr="0028322C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31ED4" w:rsidRPr="002344D4" w:rsidRDefault="00331ED4" w:rsidP="00C47255">
      <w:pPr>
        <w:ind w:right="242"/>
        <w:jc w:val="both"/>
      </w:pPr>
    </w:p>
    <w:sectPr w:rsidR="00331ED4" w:rsidRPr="002344D4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CC4063"/>
    <w:multiLevelType w:val="hybridMultilevel"/>
    <w:tmpl w:val="A58C8DBE"/>
    <w:lvl w:ilvl="0" w:tplc="EB584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D0DDA"/>
    <w:rsid w:val="000D1D50"/>
    <w:rsid w:val="000D3FC4"/>
    <w:rsid w:val="000D6435"/>
    <w:rsid w:val="000F1A22"/>
    <w:rsid w:val="000F77E2"/>
    <w:rsid w:val="00115136"/>
    <w:rsid w:val="00115E32"/>
    <w:rsid w:val="001261C6"/>
    <w:rsid w:val="00131928"/>
    <w:rsid w:val="0014207F"/>
    <w:rsid w:val="001439F8"/>
    <w:rsid w:val="00184776"/>
    <w:rsid w:val="00186EE7"/>
    <w:rsid w:val="00190A3F"/>
    <w:rsid w:val="001A341D"/>
    <w:rsid w:val="001D1747"/>
    <w:rsid w:val="001D3709"/>
    <w:rsid w:val="001D37EF"/>
    <w:rsid w:val="001D70CA"/>
    <w:rsid w:val="001E3215"/>
    <w:rsid w:val="001F716F"/>
    <w:rsid w:val="0020410E"/>
    <w:rsid w:val="00204711"/>
    <w:rsid w:val="002344D4"/>
    <w:rsid w:val="0023765E"/>
    <w:rsid w:val="00242291"/>
    <w:rsid w:val="002428D3"/>
    <w:rsid w:val="0024427F"/>
    <w:rsid w:val="00244969"/>
    <w:rsid w:val="00254D72"/>
    <w:rsid w:val="00260100"/>
    <w:rsid w:val="00264769"/>
    <w:rsid w:val="00281A1D"/>
    <w:rsid w:val="0028322C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09F4"/>
    <w:rsid w:val="00376926"/>
    <w:rsid w:val="00376E4B"/>
    <w:rsid w:val="00381B11"/>
    <w:rsid w:val="00392CD2"/>
    <w:rsid w:val="0039582E"/>
    <w:rsid w:val="003B12B5"/>
    <w:rsid w:val="003B22B5"/>
    <w:rsid w:val="003C21F5"/>
    <w:rsid w:val="003F1332"/>
    <w:rsid w:val="003F5E40"/>
    <w:rsid w:val="0041268E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106B"/>
    <w:rsid w:val="00507788"/>
    <w:rsid w:val="00507B6D"/>
    <w:rsid w:val="00513114"/>
    <w:rsid w:val="00517EAD"/>
    <w:rsid w:val="00527D2C"/>
    <w:rsid w:val="00530E74"/>
    <w:rsid w:val="005361EF"/>
    <w:rsid w:val="005A01E5"/>
    <w:rsid w:val="005A05BB"/>
    <w:rsid w:val="005A1766"/>
    <w:rsid w:val="005B2218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5BE9"/>
    <w:rsid w:val="006A75F5"/>
    <w:rsid w:val="006C3AF3"/>
    <w:rsid w:val="006C5EBA"/>
    <w:rsid w:val="006D1A77"/>
    <w:rsid w:val="006E7B9E"/>
    <w:rsid w:val="006F1655"/>
    <w:rsid w:val="006F24D7"/>
    <w:rsid w:val="006F4898"/>
    <w:rsid w:val="0070515F"/>
    <w:rsid w:val="0071111F"/>
    <w:rsid w:val="00717100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7CF4"/>
    <w:rsid w:val="007D4EEC"/>
    <w:rsid w:val="007E2AB6"/>
    <w:rsid w:val="007E4024"/>
    <w:rsid w:val="007E6570"/>
    <w:rsid w:val="007F1ECE"/>
    <w:rsid w:val="007F44DB"/>
    <w:rsid w:val="007F4FC8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636B"/>
    <w:rsid w:val="008D0790"/>
    <w:rsid w:val="008D2E27"/>
    <w:rsid w:val="008D61E9"/>
    <w:rsid w:val="008D6851"/>
    <w:rsid w:val="008F61D4"/>
    <w:rsid w:val="008F6CCB"/>
    <w:rsid w:val="0091482C"/>
    <w:rsid w:val="009237F5"/>
    <w:rsid w:val="00933130"/>
    <w:rsid w:val="00937144"/>
    <w:rsid w:val="00966C4E"/>
    <w:rsid w:val="00977264"/>
    <w:rsid w:val="00985932"/>
    <w:rsid w:val="00986262"/>
    <w:rsid w:val="009A45FA"/>
    <w:rsid w:val="009B22D4"/>
    <w:rsid w:val="009D161F"/>
    <w:rsid w:val="009E6E19"/>
    <w:rsid w:val="009F0268"/>
    <w:rsid w:val="009F717A"/>
    <w:rsid w:val="009F72D6"/>
    <w:rsid w:val="00A048B6"/>
    <w:rsid w:val="00A12E93"/>
    <w:rsid w:val="00A16712"/>
    <w:rsid w:val="00A16A44"/>
    <w:rsid w:val="00A2439E"/>
    <w:rsid w:val="00A253B6"/>
    <w:rsid w:val="00A41F37"/>
    <w:rsid w:val="00A5162B"/>
    <w:rsid w:val="00A56E0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81DB5"/>
    <w:rsid w:val="00B923EA"/>
    <w:rsid w:val="00B92911"/>
    <w:rsid w:val="00B93329"/>
    <w:rsid w:val="00BA6460"/>
    <w:rsid w:val="00BD62D0"/>
    <w:rsid w:val="00BE4663"/>
    <w:rsid w:val="00C163DA"/>
    <w:rsid w:val="00C209C5"/>
    <w:rsid w:val="00C36E71"/>
    <w:rsid w:val="00C47255"/>
    <w:rsid w:val="00C5141E"/>
    <w:rsid w:val="00C52332"/>
    <w:rsid w:val="00C67A33"/>
    <w:rsid w:val="00C709F3"/>
    <w:rsid w:val="00C70F7E"/>
    <w:rsid w:val="00C825A6"/>
    <w:rsid w:val="00CA27A3"/>
    <w:rsid w:val="00CB1D36"/>
    <w:rsid w:val="00CB77B2"/>
    <w:rsid w:val="00CC0284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A2E25"/>
    <w:rsid w:val="00DA3BD6"/>
    <w:rsid w:val="00DA77C5"/>
    <w:rsid w:val="00DB474C"/>
    <w:rsid w:val="00DC0E13"/>
    <w:rsid w:val="00E07AB3"/>
    <w:rsid w:val="00E2795C"/>
    <w:rsid w:val="00E3245B"/>
    <w:rsid w:val="00E33C5C"/>
    <w:rsid w:val="00E46706"/>
    <w:rsid w:val="00E47093"/>
    <w:rsid w:val="00E512AE"/>
    <w:rsid w:val="00E541B4"/>
    <w:rsid w:val="00E651DF"/>
    <w:rsid w:val="00EA0E8F"/>
    <w:rsid w:val="00EA3E19"/>
    <w:rsid w:val="00EA405A"/>
    <w:rsid w:val="00EB04F4"/>
    <w:rsid w:val="00EB1310"/>
    <w:rsid w:val="00EB1948"/>
    <w:rsid w:val="00EC2C75"/>
    <w:rsid w:val="00ED6B6E"/>
    <w:rsid w:val="00F00FD6"/>
    <w:rsid w:val="00F047A1"/>
    <w:rsid w:val="00F07CDD"/>
    <w:rsid w:val="00F10553"/>
    <w:rsid w:val="00F254E0"/>
    <w:rsid w:val="00F277B5"/>
    <w:rsid w:val="00F32EB4"/>
    <w:rsid w:val="00F37550"/>
    <w:rsid w:val="00F43B01"/>
    <w:rsid w:val="00F51E9D"/>
    <w:rsid w:val="00F525D0"/>
    <w:rsid w:val="00F56E75"/>
    <w:rsid w:val="00F603C1"/>
    <w:rsid w:val="00F642E6"/>
    <w:rsid w:val="00F66428"/>
    <w:rsid w:val="00F82735"/>
    <w:rsid w:val="00F97ABD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FE73-B82E-4249-8DCF-37BF586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2018-12-06T12:19:00Z</cp:lastPrinted>
  <dcterms:created xsi:type="dcterms:W3CDTF">2018-12-06T12:20:00Z</dcterms:created>
  <dcterms:modified xsi:type="dcterms:W3CDTF">2018-12-06T12:20:00Z</dcterms:modified>
</cp:coreProperties>
</file>