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rsidRPr="00FB75B7">
                              <w:rPr>
                                <w:b/>
                              </w:rPr>
                              <w:t>LICITACION PUBLICA Nº</w:t>
                            </w:r>
                            <w:r w:rsidR="00FB75B7" w:rsidRPr="00FB75B7">
                              <w:rPr>
                                <w:b/>
                              </w:rPr>
                              <w:t xml:space="preserve"> 07-2020    </w:t>
                            </w:r>
                            <w:r>
                              <w:t xml:space="preserve">COMPULSA ABREVIADA </w:t>
                            </w:r>
                            <w:r w:rsidRPr="00FB75B7">
                              <w:t>Nº</w:t>
                            </w:r>
                            <w:r w:rsidR="00FB75B7" w:rsidRPr="00FB75B7">
                              <w:t>…………..</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FB75B7">
                              <w:rPr>
                                <w:b/>
                              </w:rPr>
                              <w:t>26</w:t>
                            </w:r>
                            <w:r w:rsidR="008910B9" w:rsidRPr="00BA7E8E">
                              <w:rPr>
                                <w:b/>
                              </w:rPr>
                              <w:t>/</w:t>
                            </w:r>
                            <w:r w:rsidR="00FB75B7">
                              <w:rPr>
                                <w:b/>
                              </w:rPr>
                              <w:t>10</w:t>
                            </w:r>
                            <w:r w:rsidR="008910B9" w:rsidRPr="00BA7E8E">
                              <w:rPr>
                                <w:b/>
                              </w:rPr>
                              <w:t>/2020</w:t>
                            </w:r>
                            <w:r w:rsidR="00BA7E8E">
                              <w:rPr>
                                <w:b/>
                              </w:rPr>
                              <w:t xml:space="preserve">. HORA </w:t>
                            </w:r>
                            <w:r w:rsidR="000412F2">
                              <w:rPr>
                                <w:b/>
                              </w:rPr>
                              <w:t>09</w:t>
                            </w:r>
                            <w:r w:rsidR="00BA7E8E">
                              <w:rPr>
                                <w:b/>
                              </w:rPr>
                              <w:t>:00</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rsidRPr="00FB75B7">
                        <w:rPr>
                          <w:b/>
                        </w:rPr>
                        <w:t>LICITACION PUBLICA Nº</w:t>
                      </w:r>
                      <w:r w:rsidR="00FB75B7" w:rsidRPr="00FB75B7">
                        <w:rPr>
                          <w:b/>
                        </w:rPr>
                        <w:t xml:space="preserve"> 07-2020    </w:t>
                      </w:r>
                      <w:r>
                        <w:t xml:space="preserve">COMPULSA ABREVIADA </w:t>
                      </w:r>
                      <w:r w:rsidRPr="00FB75B7">
                        <w:t>Nº</w:t>
                      </w:r>
                      <w:r w:rsidR="00FB75B7" w:rsidRPr="00FB75B7">
                        <w:t>…………..</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FB75B7">
                        <w:rPr>
                          <w:b/>
                        </w:rPr>
                        <w:t>26</w:t>
                      </w:r>
                      <w:r w:rsidR="008910B9" w:rsidRPr="00BA7E8E">
                        <w:rPr>
                          <w:b/>
                        </w:rPr>
                        <w:t>/</w:t>
                      </w:r>
                      <w:r w:rsidR="00FB75B7">
                        <w:rPr>
                          <w:b/>
                        </w:rPr>
                        <w:t>10</w:t>
                      </w:r>
                      <w:r w:rsidR="008910B9" w:rsidRPr="00BA7E8E">
                        <w:rPr>
                          <w:b/>
                        </w:rPr>
                        <w:t>/2020</w:t>
                      </w:r>
                      <w:r w:rsidR="00BA7E8E">
                        <w:rPr>
                          <w:b/>
                        </w:rPr>
                        <w:t xml:space="preserve">. HORA </w:t>
                      </w:r>
                      <w:r w:rsidR="000412F2">
                        <w:rPr>
                          <w:b/>
                        </w:rPr>
                        <w:t>09</w:t>
                      </w:r>
                      <w:r w:rsidR="00BA7E8E">
                        <w:rPr>
                          <w:b/>
                        </w:rPr>
                        <w:t>:00</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671E71" w:rsidRDefault="00671E71" w:rsidP="00671E71">
      <w:pPr>
        <w:spacing w:line="360" w:lineRule="auto"/>
        <w:jc w:val="both"/>
        <w:rPr>
          <w:rFonts w:ascii="Arial" w:hAnsi="Arial" w:cs="Arial"/>
          <w:b/>
        </w:rPr>
      </w:pPr>
    </w:p>
    <w:p w:rsidR="00671E71" w:rsidRDefault="00671E71" w:rsidP="00671E71">
      <w:pPr>
        <w:spacing w:line="360" w:lineRule="auto"/>
        <w:jc w:val="both"/>
        <w:rPr>
          <w:rFonts w:ascii="Arial" w:hAnsi="Arial" w:cs="Arial"/>
          <w:b/>
        </w:rPr>
      </w:pPr>
      <w:r>
        <w:rPr>
          <w:rFonts w:ascii="Arial" w:hAnsi="Arial" w:cs="Arial"/>
          <w:b/>
        </w:rPr>
        <w:t xml:space="preserve">EL PRESENTE LLAMADO TIENE POR OBJETO LA </w:t>
      </w:r>
      <w:r w:rsidR="000412F2">
        <w:rPr>
          <w:rFonts w:ascii="Arial" w:hAnsi="Arial" w:cs="Arial"/>
          <w:b/>
        </w:rPr>
        <w:t xml:space="preserve">COMPRA DE </w:t>
      </w:r>
      <w:r w:rsidR="00FB75B7">
        <w:rPr>
          <w:rFonts w:ascii="Arial" w:hAnsi="Arial" w:cs="Arial"/>
          <w:b/>
        </w:rPr>
        <w:t>ROPA Y CALZADO</w:t>
      </w:r>
      <w:r w:rsidR="00907B4F">
        <w:rPr>
          <w:rFonts w:ascii="Arial" w:hAnsi="Arial" w:cs="Arial"/>
          <w:b/>
        </w:rPr>
        <w:t xml:space="preserve"> (PRIMAVERA – VERANO)</w:t>
      </w:r>
      <w:r w:rsidR="00FB75B7">
        <w:rPr>
          <w:rFonts w:ascii="Arial" w:hAnsi="Arial" w:cs="Arial"/>
          <w:b/>
        </w:rPr>
        <w:t>, DESTINADO A ECONOMATO CENTRAL DEPENDIENTE DE LA DIRECCION DE NIÑEZ, ADOLESCENCIA Y FAMILIA.</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FB75B7">
        <w:rPr>
          <w:rFonts w:ascii="Arial" w:hAnsi="Arial" w:cs="Arial"/>
          <w:b/>
        </w:rPr>
        <w:t>LICITACION PUBLICA</w:t>
      </w:r>
      <w:r w:rsidR="008910B9">
        <w:rPr>
          <w:rFonts w:ascii="Arial" w:hAnsi="Arial" w:cs="Arial"/>
          <w:b/>
        </w:rPr>
        <w:t xml:space="preserve"> N° </w:t>
      </w:r>
      <w:r w:rsidR="00FB75B7">
        <w:rPr>
          <w:rFonts w:ascii="Arial" w:hAnsi="Arial" w:cs="Arial"/>
          <w:b/>
        </w:rPr>
        <w:t>07</w:t>
      </w:r>
      <w:r w:rsidR="008910B9">
        <w:rPr>
          <w:rFonts w:ascii="Arial" w:hAnsi="Arial" w:cs="Arial"/>
          <w:b/>
        </w:rPr>
        <w:t>/2020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w:t>
      </w:r>
      <w:r w:rsidR="00FB75B7">
        <w:rPr>
          <w:rFonts w:ascii="Arial" w:hAnsi="Arial" w:cs="Arial"/>
        </w:rPr>
        <w:t xml:space="preserve">               </w:t>
      </w:r>
      <w:r w:rsidRPr="00FB75B7">
        <w:rPr>
          <w:rFonts w:ascii="Arial" w:hAnsi="Arial" w:cs="Arial"/>
          <w:b/>
        </w:rPr>
        <w:t xml:space="preserve">$ </w:t>
      </w:r>
      <w:r w:rsidR="00FB75B7" w:rsidRPr="00FB75B7">
        <w:rPr>
          <w:rFonts w:ascii="Arial" w:hAnsi="Arial" w:cs="Arial"/>
          <w:b/>
        </w:rPr>
        <w:t>5.000,00 (PESOS CINCO MIL CON 00/00</w:t>
      </w:r>
      <w:r w:rsidRPr="00FB75B7">
        <w:rPr>
          <w:rFonts w:ascii="Arial" w:hAnsi="Arial" w:cs="Arial"/>
          <w:b/>
        </w:rPr>
        <w:t>)</w:t>
      </w:r>
      <w:r w:rsidR="00907B4F">
        <w:rPr>
          <w:rFonts w:ascii="Arial" w:hAnsi="Arial" w:cs="Arial"/>
          <w:b/>
        </w:rPr>
        <w:t xml:space="preserve"> que deberá ser depositado en la cuenta 020-221844/8</w:t>
      </w:r>
      <w:r w:rsidRPr="00FB75B7">
        <w:rPr>
          <w:rFonts w:ascii="Arial" w:hAnsi="Arial" w:cs="Arial"/>
          <w:b/>
        </w:rPr>
        <w:t>,</w:t>
      </w:r>
      <w:r>
        <w:rPr>
          <w:rFonts w:ascii="Arial" w:hAnsi="Arial" w:cs="Arial"/>
        </w:rPr>
        <w:t xml:space="preserve">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w:t>
      </w:r>
      <w:bookmarkStart w:id="0" w:name="_GoBack"/>
      <w:bookmarkEnd w:id="0"/>
      <w:r>
        <w:rPr>
          <w:rFonts w:ascii="Arial" w:hAnsi="Arial" w:cs="Arial"/>
        </w:rPr>
        <w:t xml:space="preserve">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lastRenderedPageBreak/>
        <w:t>La Comisión se reserva la facultad de tomar en especial consideración, a la hora de evaluar las ofertas, la radicación de las personas (físicas o jurídicas) oferentes, privilegiando las radicadas en la Provincia de San Juan, independientemente que sean o no productoras de bienes y servicios</w:t>
      </w:r>
      <w:r w:rsidR="00D767A6">
        <w:rPr>
          <w:rFonts w:ascii="Arial" w:hAnsi="Arial" w:cs="Arial"/>
        </w:rPr>
        <w:t>, como así también la calidad, la capacidad técnica, las garantías ofrecidas y demás condiciones de la oferta</w:t>
      </w:r>
      <w:r>
        <w:rPr>
          <w:rFonts w:ascii="Arial" w:hAnsi="Arial" w:cs="Arial"/>
        </w:rPr>
        <w:t>. A tal fin y en similares términos al régimen general de compre sanjuanino prevista por la 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lastRenderedPageBreak/>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debiendo suscribir el comprobante respectivo la jefa de tal dependencia. Dichos instrumentos deberán incorporarse 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xml:space="preserve">, </w:t>
      </w:r>
      <w:r w:rsidR="00FB75B7">
        <w:rPr>
          <w:rFonts w:ascii="Arial" w:hAnsi="Arial" w:cs="Arial"/>
        </w:rPr>
        <w:t xml:space="preserve"> </w:t>
      </w:r>
      <w:r w:rsidR="00FB75B7" w:rsidRPr="00FB75B7">
        <w:rPr>
          <w:rFonts w:ascii="Arial" w:hAnsi="Arial" w:cs="Arial"/>
          <w:b/>
        </w:rPr>
        <w:t>CBU: 0450018601800000204087</w:t>
      </w:r>
      <w:r w:rsidR="00FB75B7">
        <w:rPr>
          <w:rFonts w:ascii="Arial" w:hAnsi="Arial" w:cs="Arial"/>
        </w:rPr>
        <w:t xml:space="preserve">, </w:t>
      </w:r>
      <w:r w:rsidR="005E0283">
        <w:rPr>
          <w:rFonts w:ascii="Arial" w:hAnsi="Arial" w:cs="Arial"/>
        </w:rPr>
        <w:t>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FB75B7" w:rsidRDefault="00C062C3" w:rsidP="00FB75B7">
      <w:pPr>
        <w:spacing w:after="0" w:line="360" w:lineRule="auto"/>
        <w:ind w:left="851"/>
        <w:jc w:val="both"/>
        <w:rPr>
          <w:b/>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r w:rsidR="00462733" w:rsidRPr="00FB75B7">
        <w:rPr>
          <w:b/>
        </w:rPr>
        <w:t xml:space="preserve">  </w:t>
      </w:r>
    </w:p>
    <w:p w:rsidR="00FB75B7" w:rsidRDefault="00462733" w:rsidP="00FB75B7">
      <w:pPr>
        <w:spacing w:after="0" w:line="360" w:lineRule="auto"/>
        <w:ind w:left="851"/>
        <w:jc w:val="both"/>
        <w:rPr>
          <w:b/>
        </w:rPr>
      </w:pPr>
      <w:r w:rsidRPr="00FB75B7">
        <w:rPr>
          <w:b/>
        </w:rPr>
        <w:t xml:space="preserve">  </w:t>
      </w:r>
    </w:p>
    <w:p w:rsidR="00C062C3" w:rsidRPr="00FB75B7" w:rsidRDefault="00FB75B7" w:rsidP="00FB75B7">
      <w:pPr>
        <w:spacing w:after="0" w:line="360" w:lineRule="auto"/>
        <w:ind w:left="851"/>
        <w:jc w:val="both"/>
        <w:rPr>
          <w:rFonts w:ascii="Arial" w:hAnsi="Arial" w:cs="Arial"/>
        </w:rPr>
      </w:pPr>
      <w:r>
        <w:rPr>
          <w:b/>
        </w:rPr>
        <w:t xml:space="preserve">                                                                                                                      </w:t>
      </w:r>
      <w:r w:rsidR="00462733" w:rsidRPr="00FB75B7">
        <w:rPr>
          <w:b/>
        </w:rPr>
        <w:t>FIRMA DEL PROPONENTE</w:t>
      </w:r>
    </w:p>
    <w:p w:rsidR="00C062C3" w:rsidRDefault="00C062C3" w:rsidP="00C062C3">
      <w:pPr>
        <w:spacing w:line="360" w:lineRule="auto"/>
      </w:pPr>
    </w:p>
    <w:p w:rsidR="00CD6683" w:rsidRPr="00C062C3" w:rsidRDefault="00FB75B7"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t xml:space="preserve">       </w:t>
      </w:r>
    </w:p>
    <w:p w:rsidR="00CD6683" w:rsidRPr="00C062C3" w:rsidRDefault="00CD6683" w:rsidP="00FB75B7">
      <w:pPr>
        <w:spacing w:line="360" w:lineRule="auto"/>
        <w:rPr>
          <w:b/>
        </w:rPr>
        <w:sectPr w:rsidR="00CD6683" w:rsidRPr="00C062C3" w:rsidSect="00FE2B6F">
          <w:pgSz w:w="12240" w:h="20160" w:code="5"/>
          <w:pgMar w:top="2835" w:right="1644" w:bottom="2041" w:left="2041" w:header="709" w:footer="709" w:gutter="0"/>
          <w:cols w:space="708"/>
          <w:docGrid w:linePitch="360"/>
        </w:sectPr>
      </w:pP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22" w:rsidRDefault="00122922" w:rsidP="00A348AA">
      <w:pPr>
        <w:spacing w:after="0" w:line="240" w:lineRule="auto"/>
      </w:pPr>
      <w:r>
        <w:separator/>
      </w:r>
    </w:p>
  </w:endnote>
  <w:endnote w:type="continuationSeparator" w:id="0">
    <w:p w:rsidR="00122922" w:rsidRDefault="00122922"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907B4F" w:rsidRPr="00907B4F">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22" w:rsidRDefault="00122922" w:rsidP="00A348AA">
      <w:pPr>
        <w:spacing w:after="0" w:line="240" w:lineRule="auto"/>
      </w:pPr>
      <w:r>
        <w:separator/>
      </w:r>
    </w:p>
  </w:footnote>
  <w:footnote w:type="continuationSeparator" w:id="0">
    <w:p w:rsidR="00122922" w:rsidRDefault="00122922"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5755E8C7" wp14:editId="15CFFCE7">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412F2"/>
    <w:rsid w:val="00044A25"/>
    <w:rsid w:val="00063142"/>
    <w:rsid w:val="00092493"/>
    <w:rsid w:val="00122922"/>
    <w:rsid w:val="0017053C"/>
    <w:rsid w:val="00212ABE"/>
    <w:rsid w:val="00354F20"/>
    <w:rsid w:val="003834A4"/>
    <w:rsid w:val="00462733"/>
    <w:rsid w:val="0048264F"/>
    <w:rsid w:val="004B1BD4"/>
    <w:rsid w:val="00574BC4"/>
    <w:rsid w:val="005779D0"/>
    <w:rsid w:val="005A0D5B"/>
    <w:rsid w:val="005C3D2C"/>
    <w:rsid w:val="005E0283"/>
    <w:rsid w:val="00671E71"/>
    <w:rsid w:val="00691630"/>
    <w:rsid w:val="00696F2F"/>
    <w:rsid w:val="007A438A"/>
    <w:rsid w:val="007B1F00"/>
    <w:rsid w:val="007F403B"/>
    <w:rsid w:val="00803905"/>
    <w:rsid w:val="00835A6B"/>
    <w:rsid w:val="00867FA2"/>
    <w:rsid w:val="0087046F"/>
    <w:rsid w:val="008910B9"/>
    <w:rsid w:val="00894861"/>
    <w:rsid w:val="008949B0"/>
    <w:rsid w:val="008B0074"/>
    <w:rsid w:val="008E5733"/>
    <w:rsid w:val="00907B4F"/>
    <w:rsid w:val="00964B7D"/>
    <w:rsid w:val="00970658"/>
    <w:rsid w:val="009D59CB"/>
    <w:rsid w:val="009F5ADB"/>
    <w:rsid w:val="00A16378"/>
    <w:rsid w:val="00A348AA"/>
    <w:rsid w:val="00A43018"/>
    <w:rsid w:val="00B05A0F"/>
    <w:rsid w:val="00B84FDA"/>
    <w:rsid w:val="00BA7E8E"/>
    <w:rsid w:val="00C062C3"/>
    <w:rsid w:val="00C547BF"/>
    <w:rsid w:val="00CD6683"/>
    <w:rsid w:val="00CE15F4"/>
    <w:rsid w:val="00CE490F"/>
    <w:rsid w:val="00CF63DB"/>
    <w:rsid w:val="00D30C0E"/>
    <w:rsid w:val="00D35B66"/>
    <w:rsid w:val="00D767A6"/>
    <w:rsid w:val="00DF2E13"/>
    <w:rsid w:val="00E04420"/>
    <w:rsid w:val="00E14E1D"/>
    <w:rsid w:val="00E522E6"/>
    <w:rsid w:val="00E65A11"/>
    <w:rsid w:val="00ED2361"/>
    <w:rsid w:val="00F12FD2"/>
    <w:rsid w:val="00F3406D"/>
    <w:rsid w:val="00F43AF5"/>
    <w:rsid w:val="00F775DF"/>
    <w:rsid w:val="00FB75B7"/>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1FF6-1CC6-439B-AA35-F355C973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5</cp:revision>
  <cp:lastPrinted>2020-09-18T13:41:00Z</cp:lastPrinted>
  <dcterms:created xsi:type="dcterms:W3CDTF">2020-10-06T15:07:00Z</dcterms:created>
  <dcterms:modified xsi:type="dcterms:W3CDTF">2020-10-13T12:59:00Z</dcterms:modified>
</cp:coreProperties>
</file>